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AD9D" w14:textId="65A29D8D" w:rsidR="0003187E" w:rsidRPr="008439F2" w:rsidRDefault="0003187E" w:rsidP="008439F2">
      <w:pPr>
        <w:pStyle w:val="Title"/>
        <w:rPr>
          <w:rFonts w:ascii="Franklin Gothic Medium" w:hAnsi="Franklin Gothic Medium"/>
          <w:color w:val="065861"/>
          <w:sz w:val="32"/>
          <w:szCs w:val="32"/>
        </w:rPr>
      </w:pPr>
      <w:r w:rsidRPr="008439F2">
        <w:rPr>
          <w:rFonts w:ascii="Franklin Gothic Medium" w:hAnsi="Franklin Gothic Medium"/>
          <w:color w:val="065861"/>
          <w:sz w:val="32"/>
          <w:szCs w:val="32"/>
        </w:rPr>
        <w:t>ASRP</w:t>
      </w:r>
      <w:r w:rsidRPr="008439F2">
        <w:rPr>
          <w:rFonts w:ascii="Franklin Gothic Medium" w:hAnsi="Franklin Gothic Medium"/>
          <w:color w:val="065861"/>
          <w:spacing w:val="-22"/>
          <w:sz w:val="32"/>
          <w:szCs w:val="32"/>
        </w:rPr>
        <w:t xml:space="preserve"> </w:t>
      </w:r>
      <w:r w:rsidRPr="008439F2">
        <w:rPr>
          <w:rFonts w:ascii="Franklin Gothic Medium" w:hAnsi="Franklin Gothic Medium"/>
          <w:color w:val="065861"/>
          <w:sz w:val="32"/>
          <w:szCs w:val="32"/>
        </w:rPr>
        <w:t>PROJECT DEVELOPMENT</w:t>
      </w:r>
      <w:r w:rsidRPr="008439F2">
        <w:rPr>
          <w:rFonts w:ascii="Franklin Gothic Medium" w:hAnsi="Franklin Gothic Medium"/>
          <w:color w:val="065861"/>
          <w:spacing w:val="-21"/>
          <w:sz w:val="32"/>
          <w:szCs w:val="32"/>
        </w:rPr>
        <w:t xml:space="preserve"> </w:t>
      </w:r>
      <w:r w:rsidRPr="008439F2">
        <w:rPr>
          <w:rFonts w:ascii="Franklin Gothic Medium" w:hAnsi="Franklin Gothic Medium"/>
          <w:color w:val="065861"/>
          <w:sz w:val="32"/>
          <w:szCs w:val="32"/>
        </w:rPr>
        <w:t>FUNDING</w:t>
      </w:r>
      <w:r w:rsidRPr="008439F2">
        <w:rPr>
          <w:rFonts w:ascii="Franklin Gothic Medium" w:hAnsi="Franklin Gothic Medium"/>
          <w:color w:val="065861"/>
          <w:spacing w:val="-22"/>
          <w:sz w:val="32"/>
          <w:szCs w:val="32"/>
        </w:rPr>
        <w:t xml:space="preserve"> </w:t>
      </w:r>
      <w:r w:rsidRPr="008439F2">
        <w:rPr>
          <w:rFonts w:ascii="Franklin Gothic Medium" w:hAnsi="Franklin Gothic Medium"/>
          <w:color w:val="065861"/>
          <w:sz w:val="32"/>
          <w:szCs w:val="32"/>
        </w:rPr>
        <w:t xml:space="preserve">GUIDANCE </w:t>
      </w:r>
      <w:r w:rsidR="002F0CC4" w:rsidRPr="008439F2">
        <w:rPr>
          <w:rFonts w:ascii="Franklin Gothic Medium" w:hAnsi="Franklin Gothic Medium"/>
          <w:color w:val="065861"/>
          <w:sz w:val="32"/>
          <w:szCs w:val="32"/>
        </w:rPr>
        <w:t>(2023</w:t>
      </w:r>
      <w:r w:rsidR="000A5732">
        <w:rPr>
          <w:rFonts w:ascii="Franklin Gothic Medium" w:hAnsi="Franklin Gothic Medium"/>
          <w:color w:val="065861"/>
          <w:sz w:val="32"/>
          <w:szCs w:val="32"/>
        </w:rPr>
        <w:t>–</w:t>
      </w:r>
      <w:r w:rsidR="002F0CC4" w:rsidRPr="008439F2">
        <w:rPr>
          <w:rFonts w:ascii="Franklin Gothic Medium" w:hAnsi="Franklin Gothic Medium"/>
          <w:color w:val="065861"/>
          <w:sz w:val="32"/>
          <w:szCs w:val="32"/>
        </w:rPr>
        <w:t>2025 BIENNIUM)</w:t>
      </w:r>
    </w:p>
    <w:bookmarkStart w:id="0" w:name="ASRP_Opportunistic_Funding_Guidance_2021"/>
    <w:bookmarkEnd w:id="0"/>
    <w:p w14:paraId="6DA53C7F" w14:textId="23BF7D3B" w:rsidR="0003187E" w:rsidRPr="008439F2" w:rsidRDefault="0003187E" w:rsidP="0003187E">
      <w:pPr>
        <w:pStyle w:val="Title"/>
        <w:spacing w:line="288" w:lineRule="auto"/>
        <w:rPr>
          <w:rFonts w:ascii="Franklin Gothic Book" w:hAnsi="Franklin Gothic Book"/>
          <w:i/>
          <w:iCs/>
          <w:color w:val="065861"/>
        </w:rPr>
      </w:pPr>
      <w:r w:rsidRPr="008439F2">
        <w:rPr>
          <w:rFonts w:ascii="Franklin Gothic Book" w:hAnsi="Franklin Gothic Book"/>
          <w:i/>
          <w:iCs/>
          <w:noProof/>
          <w:color w:val="065861"/>
        </w:rPr>
        <mc:AlternateContent>
          <mc:Choice Requires="wps">
            <w:drawing>
              <wp:anchor distT="0" distB="0" distL="0" distR="0" simplePos="0" relativeHeight="251659264" behindDoc="1" locked="0" layoutInCell="1" allowOverlap="1" wp14:anchorId="770EC8B9" wp14:editId="7018F0A4">
                <wp:simplePos x="0" y="0"/>
                <wp:positionH relativeFrom="page">
                  <wp:posOffset>896620</wp:posOffset>
                </wp:positionH>
                <wp:positionV relativeFrom="paragraph">
                  <wp:posOffset>287655</wp:posOffset>
                </wp:positionV>
                <wp:extent cx="5980430" cy="38100"/>
                <wp:effectExtent l="0" t="0" r="127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38100"/>
                        </a:xfrm>
                        <a:custGeom>
                          <a:avLst/>
                          <a:gdLst/>
                          <a:ahLst/>
                          <a:cxnLst/>
                          <a:rect l="l" t="t" r="r" b="b"/>
                          <a:pathLst>
                            <a:path w="5980430" h="38100">
                              <a:moveTo>
                                <a:pt x="5980176" y="0"/>
                              </a:moveTo>
                              <a:lnTo>
                                <a:pt x="0" y="0"/>
                              </a:lnTo>
                              <a:lnTo>
                                <a:pt x="0" y="38100"/>
                              </a:lnTo>
                              <a:lnTo>
                                <a:pt x="5980176" y="38100"/>
                              </a:lnTo>
                              <a:lnTo>
                                <a:pt x="5980176" y="0"/>
                              </a:lnTo>
                              <a:close/>
                            </a:path>
                          </a:pathLst>
                        </a:custGeom>
                        <a:solidFill>
                          <a:srgbClr val="065861"/>
                        </a:solidFill>
                      </wps:spPr>
                      <wps:bodyPr wrap="square" lIns="0" tIns="0" rIns="0" bIns="0" rtlCol="0">
                        <a:prstTxWarp prst="textNoShape">
                          <a:avLst/>
                        </a:prstTxWarp>
                        <a:noAutofit/>
                      </wps:bodyPr>
                    </wps:wsp>
                  </a:graphicData>
                </a:graphic>
              </wp:anchor>
            </w:drawing>
          </mc:Choice>
          <mc:Fallback>
            <w:pict>
              <v:shape w14:anchorId="504B9E2C" id="Graphic 3" o:spid="_x0000_s1026" style="position:absolute;margin-left:70.6pt;margin-top:22.65pt;width:470.9pt;height:3pt;z-index:-251657216;visibility:visible;mso-wrap-style:square;mso-wrap-distance-left:0;mso-wrap-distance-top:0;mso-wrap-distance-right:0;mso-wrap-distance-bottom:0;mso-position-horizontal:absolute;mso-position-horizontal-relative:page;mso-position-vertical:absolute;mso-position-vertical-relative:text;v-text-anchor:top" coordsize="598043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" path="m5980176,l,,,38100r5980176,l5980176,xe" fillcolor="#065861" stroked="f">
                <v:path arrowok="t"/>
                <w10:wrap type="topAndBottom" anchorx="page"/>
              </v:shape>
            </w:pict>
          </mc:Fallback>
        </mc:AlternateContent>
      </w:r>
      <w:r w:rsidRPr="008439F2">
        <w:rPr>
          <w:rStyle w:val="SubtitleChar"/>
          <w:rFonts w:ascii="Franklin Gothic Book" w:hAnsi="Franklin Gothic Book"/>
          <w:i/>
          <w:iCs/>
          <w:color w:val="065861"/>
          <w:sz w:val="28"/>
          <w:szCs w:val="28"/>
        </w:rPr>
        <w:t xml:space="preserve">Updated </w:t>
      </w:r>
      <w:r w:rsidR="002F0CC4" w:rsidRPr="008439F2">
        <w:rPr>
          <w:rStyle w:val="SubtitleChar"/>
          <w:rFonts w:ascii="Franklin Gothic Book" w:hAnsi="Franklin Gothic Book"/>
          <w:i/>
          <w:iCs/>
          <w:color w:val="065861"/>
          <w:sz w:val="28"/>
          <w:szCs w:val="28"/>
        </w:rPr>
        <w:t xml:space="preserve">October </w:t>
      </w:r>
      <w:r w:rsidRPr="008439F2">
        <w:rPr>
          <w:rStyle w:val="SubtitleChar"/>
          <w:rFonts w:ascii="Franklin Gothic Book" w:hAnsi="Franklin Gothic Book"/>
          <w:i/>
          <w:iCs/>
          <w:color w:val="065861"/>
          <w:sz w:val="28"/>
          <w:szCs w:val="28"/>
        </w:rPr>
        <w:t>2023</w:t>
      </w:r>
    </w:p>
    <w:p w14:paraId="29D0ADE8" w14:textId="6360F656" w:rsidR="00FE2652" w:rsidRPr="00C20664" w:rsidRDefault="755AED62" w:rsidP="00C20664">
      <w:pPr>
        <w:pStyle w:val="BodyText"/>
        <w:spacing w:before="240"/>
        <w:rPr>
          <w:rFonts w:asciiTheme="minorHAnsi" w:hAnsiTheme="minorHAnsi" w:cstheme="minorHAnsi"/>
          <w:sz w:val="22"/>
          <w:szCs w:val="22"/>
        </w:rPr>
      </w:pPr>
      <w:r w:rsidRPr="00C20664">
        <w:rPr>
          <w:rFonts w:asciiTheme="minorHAnsi" w:hAnsiTheme="minorHAnsi" w:cstheme="minorHAnsi"/>
          <w:sz w:val="22"/>
          <w:szCs w:val="22"/>
        </w:rPr>
        <w:t xml:space="preserve">The </w:t>
      </w:r>
      <w:r w:rsidR="00D44C48" w:rsidRPr="00C20664">
        <w:rPr>
          <w:rFonts w:asciiTheme="minorHAnsi" w:hAnsiTheme="minorHAnsi" w:cstheme="minorHAnsi"/>
          <w:sz w:val="22"/>
          <w:szCs w:val="22"/>
        </w:rPr>
        <w:t>Aquatic Species Restoration Plan (</w:t>
      </w:r>
      <w:r w:rsidRPr="00C20664">
        <w:rPr>
          <w:rFonts w:asciiTheme="minorHAnsi" w:hAnsiTheme="minorHAnsi" w:cstheme="minorHAnsi"/>
          <w:sz w:val="22"/>
          <w:szCs w:val="22"/>
        </w:rPr>
        <w:t>ASRP</w:t>
      </w:r>
      <w:r w:rsidR="00D44C48" w:rsidRPr="00C20664">
        <w:rPr>
          <w:rFonts w:asciiTheme="minorHAnsi" w:hAnsiTheme="minorHAnsi" w:cstheme="minorHAnsi"/>
          <w:sz w:val="22"/>
          <w:szCs w:val="22"/>
        </w:rPr>
        <w:t>)</w:t>
      </w:r>
      <w:r w:rsidRPr="00C20664">
        <w:rPr>
          <w:rFonts w:asciiTheme="minorHAnsi" w:hAnsiTheme="minorHAnsi" w:cstheme="minorHAnsi"/>
          <w:sz w:val="22"/>
          <w:szCs w:val="22"/>
        </w:rPr>
        <w:t xml:space="preserve"> Steering Committee understands that taking the first steps to develop a project requires an investment of both time and money. Sponsors need to take </w:t>
      </w:r>
      <w:r w:rsidR="00C64DDE" w:rsidRPr="00C20664">
        <w:rPr>
          <w:rFonts w:asciiTheme="minorHAnsi" w:hAnsiTheme="minorHAnsi" w:cstheme="minorHAnsi"/>
          <w:sz w:val="22"/>
          <w:szCs w:val="22"/>
        </w:rPr>
        <w:t>several</w:t>
      </w:r>
      <w:r w:rsidRPr="00C20664">
        <w:rPr>
          <w:rFonts w:asciiTheme="minorHAnsi" w:hAnsiTheme="minorHAnsi" w:cstheme="minorHAnsi"/>
          <w:sz w:val="22"/>
          <w:szCs w:val="22"/>
        </w:rPr>
        <w:t xml:space="preserve"> actions before a project concept </w:t>
      </w:r>
      <w:r w:rsidR="008439F2" w:rsidRPr="00C20664">
        <w:rPr>
          <w:rFonts w:asciiTheme="minorHAnsi" w:hAnsiTheme="minorHAnsi" w:cstheme="minorHAnsi"/>
          <w:sz w:val="22"/>
          <w:szCs w:val="22"/>
        </w:rPr>
        <w:t>can be</w:t>
      </w:r>
      <w:r w:rsidRPr="00C20664">
        <w:rPr>
          <w:rFonts w:asciiTheme="minorHAnsi" w:hAnsiTheme="minorHAnsi" w:cstheme="minorHAnsi"/>
          <w:sz w:val="22"/>
          <w:szCs w:val="22"/>
        </w:rPr>
        <w:t xml:space="preserve"> ready. This guidance document describes two pathways for providing sponsor capacity for these needs. </w:t>
      </w:r>
      <w:r w:rsidRPr="00C20664">
        <w:rPr>
          <w:rFonts w:asciiTheme="minorHAnsi" w:hAnsiTheme="minorHAnsi" w:cstheme="minorHAnsi"/>
          <w:b/>
          <w:bCs/>
          <w:sz w:val="22"/>
          <w:szCs w:val="22"/>
        </w:rPr>
        <w:t xml:space="preserve">Local Strategy Grants </w:t>
      </w:r>
      <w:r w:rsidRPr="00C20664">
        <w:rPr>
          <w:rFonts w:asciiTheme="minorHAnsi" w:hAnsiTheme="minorHAnsi" w:cstheme="minorHAnsi"/>
          <w:sz w:val="22"/>
          <w:szCs w:val="22"/>
        </w:rPr>
        <w:t xml:space="preserve">primarily involve outreach to landowners within large geographic areas, such as ASRP geospatial units (GSUs) or watersheds, with the intent to identify and prioritize opportunities for multiple future projects. </w:t>
      </w:r>
      <w:r w:rsidRPr="00C20664">
        <w:rPr>
          <w:rFonts w:asciiTheme="minorHAnsi" w:hAnsiTheme="minorHAnsi" w:cstheme="minorHAnsi"/>
          <w:b/>
          <w:bCs/>
          <w:sz w:val="22"/>
          <w:szCs w:val="22"/>
        </w:rPr>
        <w:t>Project Initialization Grants</w:t>
      </w:r>
      <w:r w:rsidRPr="00C20664">
        <w:rPr>
          <w:rFonts w:asciiTheme="minorHAnsi" w:hAnsiTheme="minorHAnsi" w:cstheme="minorHAnsi"/>
          <w:sz w:val="22"/>
          <w:szCs w:val="22"/>
        </w:rPr>
        <w:t xml:space="preserve"> involve due</w:t>
      </w:r>
      <w:r w:rsidR="00D44C48" w:rsidRPr="00C20664">
        <w:rPr>
          <w:rFonts w:asciiTheme="minorHAnsi" w:hAnsiTheme="minorHAnsi" w:cstheme="minorHAnsi"/>
          <w:sz w:val="22"/>
          <w:szCs w:val="22"/>
        </w:rPr>
        <w:t xml:space="preserve"> </w:t>
      </w:r>
      <w:r w:rsidRPr="00C20664">
        <w:rPr>
          <w:rFonts w:asciiTheme="minorHAnsi" w:hAnsiTheme="minorHAnsi" w:cstheme="minorHAnsi"/>
          <w:sz w:val="22"/>
          <w:szCs w:val="22"/>
        </w:rPr>
        <w:t xml:space="preserve">diligence or other initial steps </w:t>
      </w:r>
      <w:r w:rsidR="008439F2" w:rsidRPr="00C20664">
        <w:rPr>
          <w:rFonts w:asciiTheme="minorHAnsi" w:hAnsiTheme="minorHAnsi" w:cstheme="minorHAnsi"/>
          <w:sz w:val="22"/>
          <w:szCs w:val="22"/>
        </w:rPr>
        <w:t>to identify or</w:t>
      </w:r>
      <w:r w:rsidRPr="00C20664">
        <w:rPr>
          <w:rFonts w:asciiTheme="minorHAnsi" w:hAnsiTheme="minorHAnsi" w:cstheme="minorHAnsi"/>
          <w:sz w:val="22"/>
          <w:szCs w:val="22"/>
        </w:rPr>
        <w:t xml:space="preserve"> </w:t>
      </w:r>
      <w:r w:rsidR="008439F2" w:rsidRPr="00C20664">
        <w:rPr>
          <w:rFonts w:asciiTheme="minorHAnsi" w:hAnsiTheme="minorHAnsi" w:cstheme="minorHAnsi"/>
          <w:sz w:val="22"/>
          <w:szCs w:val="22"/>
        </w:rPr>
        <w:t xml:space="preserve">develop </w:t>
      </w:r>
      <w:r w:rsidRPr="00C20664">
        <w:rPr>
          <w:rFonts w:asciiTheme="minorHAnsi" w:hAnsiTheme="minorHAnsi" w:cstheme="minorHAnsi"/>
          <w:sz w:val="22"/>
          <w:szCs w:val="22"/>
        </w:rPr>
        <w:t>restoration or protection projects.</w:t>
      </w:r>
    </w:p>
    <w:p w14:paraId="1D8DB910" w14:textId="7C2E1F4A" w:rsidR="00B51C6F" w:rsidRPr="00C20664" w:rsidRDefault="60F0B2AB" w:rsidP="00B51C6F">
      <w:pPr>
        <w:pStyle w:val="BodyText"/>
        <w:rPr>
          <w:rFonts w:asciiTheme="minorHAnsi" w:hAnsiTheme="minorHAnsi" w:cstheme="minorHAnsi"/>
          <w:sz w:val="22"/>
          <w:szCs w:val="22"/>
        </w:rPr>
      </w:pPr>
      <w:r w:rsidRPr="00C20664">
        <w:rPr>
          <w:rFonts w:asciiTheme="minorHAnsi" w:hAnsiTheme="minorHAnsi" w:cstheme="minorHAnsi"/>
          <w:sz w:val="22"/>
          <w:szCs w:val="22"/>
        </w:rPr>
        <w:t xml:space="preserve">For either pathway, sponsors will work with the ASRP Regional Implementation Teams </w:t>
      </w:r>
      <w:r w:rsidR="00565E6F" w:rsidRPr="00C20664">
        <w:rPr>
          <w:rFonts w:asciiTheme="minorHAnsi" w:hAnsiTheme="minorHAnsi" w:cstheme="minorHAnsi"/>
          <w:sz w:val="22"/>
          <w:szCs w:val="22"/>
        </w:rPr>
        <w:t xml:space="preserve">(RITs) </w:t>
      </w:r>
      <w:r w:rsidRPr="00C20664">
        <w:rPr>
          <w:rFonts w:asciiTheme="minorHAnsi" w:hAnsiTheme="minorHAnsi" w:cstheme="minorHAnsi"/>
          <w:sz w:val="22"/>
          <w:szCs w:val="22"/>
        </w:rPr>
        <w:t xml:space="preserve">and landowners to identify areas of interest and project types appropriate for the area as identified in the </w:t>
      </w:r>
      <w:hyperlink r:id="rId11" w:history="1">
        <w:r w:rsidRPr="00C20664">
          <w:rPr>
            <w:rStyle w:val="Hyperlink"/>
            <w:rFonts w:asciiTheme="minorHAnsi" w:hAnsiTheme="minorHAnsi" w:cstheme="minorHAnsi"/>
            <w:sz w:val="22"/>
            <w:szCs w:val="22"/>
          </w:rPr>
          <w:t>Prioritization and Sequencing guidance</w:t>
        </w:r>
      </w:hyperlink>
      <w:r w:rsidRPr="00C20664">
        <w:rPr>
          <w:rFonts w:asciiTheme="minorHAnsi" w:hAnsiTheme="minorHAnsi" w:cstheme="minorHAnsi"/>
          <w:sz w:val="22"/>
          <w:szCs w:val="22"/>
        </w:rPr>
        <w:t xml:space="preserve"> provided by the ASRP Steering Committee. Sponsors must follow the outlined process </w:t>
      </w:r>
      <w:proofErr w:type="gramStart"/>
      <w:r w:rsidRPr="00C20664">
        <w:rPr>
          <w:rFonts w:asciiTheme="minorHAnsi" w:hAnsiTheme="minorHAnsi" w:cstheme="minorHAnsi"/>
          <w:sz w:val="22"/>
          <w:szCs w:val="22"/>
        </w:rPr>
        <w:t>in order to</w:t>
      </w:r>
      <w:proofErr w:type="gramEnd"/>
      <w:r w:rsidRPr="00C20664">
        <w:rPr>
          <w:rFonts w:asciiTheme="minorHAnsi" w:hAnsiTheme="minorHAnsi" w:cstheme="minorHAnsi"/>
          <w:sz w:val="22"/>
          <w:szCs w:val="22"/>
        </w:rPr>
        <w:t xml:space="preserve"> be eligible to receive Local Strategy or Project Initialization Grants.</w:t>
      </w:r>
    </w:p>
    <w:p w14:paraId="2655EB13" w14:textId="4ECF869A" w:rsidR="00B67E6A" w:rsidRPr="00C20664" w:rsidRDefault="00B67E6A" w:rsidP="00B51C6F">
      <w:pPr>
        <w:pStyle w:val="BodyText"/>
        <w:rPr>
          <w:rFonts w:asciiTheme="minorHAnsi" w:hAnsiTheme="minorHAnsi" w:cstheme="minorHAnsi"/>
          <w:sz w:val="22"/>
          <w:szCs w:val="22"/>
        </w:rPr>
      </w:pPr>
      <w:r w:rsidRPr="00C20664">
        <w:rPr>
          <w:rFonts w:asciiTheme="minorHAnsi" w:hAnsiTheme="minorHAnsi" w:cstheme="minorHAnsi"/>
          <w:sz w:val="22"/>
          <w:szCs w:val="22"/>
        </w:rPr>
        <w:t xml:space="preserve">To apply for project development funding, ASRP sponsors should submit a Project Development Form to their RIT Lead. The same form is used for both Local Strategy and Project Initialization Grants. All Project Development Grants are reviewed by both the RIT and the ASRP Steering Committee but are not subject to scoring by the ASRP Technical Review Team. However, communicating early and often with the Technical Review Team throughout the project development process is still recommended. </w:t>
      </w:r>
    </w:p>
    <w:p w14:paraId="61016C1C" w14:textId="482E0044" w:rsidR="00B51C6F" w:rsidRPr="00DB1580" w:rsidRDefault="001E547F" w:rsidP="005B3D53">
      <w:pPr>
        <w:pStyle w:val="Heading1"/>
        <w:rPr>
          <w:rFonts w:ascii="Cambria" w:hAnsi="Cambria"/>
          <w:b/>
          <w:bCs/>
          <w:color w:val="065861"/>
        </w:rPr>
      </w:pPr>
      <w:r w:rsidRPr="00DB1580">
        <w:rPr>
          <w:rFonts w:ascii="Cambria" w:hAnsi="Cambria"/>
          <w:b/>
          <w:bCs/>
          <w:color w:val="065861"/>
        </w:rPr>
        <w:t>Local Strategy</w:t>
      </w:r>
      <w:r w:rsidR="00B51C6F" w:rsidRPr="00DB1580">
        <w:rPr>
          <w:rFonts w:ascii="Cambria" w:hAnsi="Cambria"/>
          <w:b/>
          <w:bCs/>
          <w:color w:val="065861"/>
        </w:rPr>
        <w:t xml:space="preserve"> </w:t>
      </w:r>
      <w:r w:rsidR="00B9442C" w:rsidRPr="00DB1580">
        <w:rPr>
          <w:rFonts w:ascii="Cambria" w:hAnsi="Cambria"/>
          <w:b/>
          <w:bCs/>
          <w:color w:val="065861"/>
        </w:rPr>
        <w:t>Grants</w:t>
      </w:r>
    </w:p>
    <w:p w14:paraId="4894FE4B" w14:textId="1BF8DF36" w:rsidR="006A2A14" w:rsidRPr="00C20664" w:rsidRDefault="755AED62" w:rsidP="0003514B">
      <w:pPr>
        <w:pStyle w:val="BodyText"/>
        <w:rPr>
          <w:rFonts w:asciiTheme="minorHAnsi" w:hAnsiTheme="minorHAnsi" w:cstheme="minorHAnsi"/>
          <w:sz w:val="22"/>
          <w:szCs w:val="22"/>
        </w:rPr>
      </w:pPr>
      <w:r w:rsidRPr="00C20664">
        <w:rPr>
          <w:rFonts w:asciiTheme="minorHAnsi" w:hAnsiTheme="minorHAnsi" w:cstheme="minorHAnsi"/>
          <w:sz w:val="22"/>
          <w:szCs w:val="22"/>
        </w:rPr>
        <w:t xml:space="preserve">Local Strategy Grants are a new funding category starting in 2023. Local Strategy Grants provide capacity for sponsors to conduct landowner outreach and site assessments to bridge the gap between basin-wide prioritization and project implementation. The ASRP Prioritization and Sequencing </w:t>
      </w:r>
      <w:r w:rsidR="005D2E75" w:rsidRPr="00C20664">
        <w:rPr>
          <w:rFonts w:asciiTheme="minorHAnsi" w:hAnsiTheme="minorHAnsi" w:cstheme="minorHAnsi"/>
          <w:sz w:val="22"/>
          <w:szCs w:val="22"/>
        </w:rPr>
        <w:t>memo</w:t>
      </w:r>
      <w:r w:rsidR="00297E7F" w:rsidRPr="00C20664">
        <w:rPr>
          <w:rFonts w:asciiTheme="minorHAnsi" w:hAnsiTheme="minorHAnsi" w:cstheme="minorHAnsi"/>
          <w:sz w:val="22"/>
          <w:szCs w:val="22"/>
        </w:rPr>
        <w:t>randum</w:t>
      </w:r>
      <w:r w:rsidR="005D2E75" w:rsidRPr="00C20664">
        <w:rPr>
          <w:rFonts w:asciiTheme="minorHAnsi" w:hAnsiTheme="minorHAnsi" w:cstheme="minorHAnsi"/>
          <w:sz w:val="22"/>
          <w:szCs w:val="22"/>
        </w:rPr>
        <w:t xml:space="preserve"> </w:t>
      </w:r>
      <w:r w:rsidR="00773881" w:rsidRPr="00C20664">
        <w:rPr>
          <w:rFonts w:asciiTheme="minorHAnsi" w:hAnsiTheme="minorHAnsi" w:cstheme="minorHAnsi"/>
          <w:sz w:val="22"/>
          <w:szCs w:val="22"/>
        </w:rPr>
        <w:t xml:space="preserve">and near-term implementation </w:t>
      </w:r>
      <w:hyperlink r:id="rId12" w:history="1">
        <w:r w:rsidR="00773881" w:rsidRPr="00C20664">
          <w:rPr>
            <w:rStyle w:val="Hyperlink"/>
            <w:rFonts w:asciiTheme="minorHAnsi" w:hAnsiTheme="minorHAnsi" w:cstheme="minorHAnsi"/>
            <w:sz w:val="22"/>
            <w:szCs w:val="22"/>
          </w:rPr>
          <w:t>map</w:t>
        </w:r>
      </w:hyperlink>
      <w:r w:rsidR="00773881" w:rsidRPr="00C20664">
        <w:rPr>
          <w:rFonts w:asciiTheme="minorHAnsi" w:hAnsiTheme="minorHAnsi" w:cstheme="minorHAnsi"/>
          <w:sz w:val="22"/>
          <w:szCs w:val="22"/>
        </w:rPr>
        <w:t xml:space="preserve"> and </w:t>
      </w:r>
      <w:hyperlink r:id="rId13" w:history="1">
        <w:r w:rsidR="00773881" w:rsidRPr="00C20664">
          <w:rPr>
            <w:rStyle w:val="Hyperlink"/>
            <w:rFonts w:asciiTheme="minorHAnsi" w:hAnsiTheme="minorHAnsi" w:cstheme="minorHAnsi"/>
            <w:sz w:val="22"/>
            <w:szCs w:val="22"/>
          </w:rPr>
          <w:t>table</w:t>
        </w:r>
      </w:hyperlink>
      <w:r w:rsidR="00773881" w:rsidRPr="00C20664">
        <w:rPr>
          <w:rFonts w:asciiTheme="minorHAnsi" w:hAnsiTheme="minorHAnsi" w:cstheme="minorHAnsi"/>
          <w:sz w:val="22"/>
          <w:szCs w:val="22"/>
        </w:rPr>
        <w:t xml:space="preserve"> </w:t>
      </w:r>
      <w:r w:rsidRPr="00C20664">
        <w:rPr>
          <w:rFonts w:asciiTheme="minorHAnsi" w:hAnsiTheme="minorHAnsi" w:cstheme="minorHAnsi"/>
          <w:sz w:val="22"/>
          <w:szCs w:val="22"/>
        </w:rPr>
        <w:t xml:space="preserve">provide direction on which GSUs should be targeted for near-term implementation. However, the Prioritization and Sequencing </w:t>
      </w:r>
      <w:r w:rsidR="005D2E75" w:rsidRPr="00C20664">
        <w:rPr>
          <w:rFonts w:asciiTheme="minorHAnsi" w:hAnsiTheme="minorHAnsi" w:cstheme="minorHAnsi"/>
          <w:sz w:val="22"/>
          <w:szCs w:val="22"/>
        </w:rPr>
        <w:t>memo</w:t>
      </w:r>
      <w:r w:rsidR="00297E7F" w:rsidRPr="00C20664">
        <w:rPr>
          <w:rFonts w:asciiTheme="minorHAnsi" w:hAnsiTheme="minorHAnsi" w:cstheme="minorHAnsi"/>
          <w:sz w:val="22"/>
          <w:szCs w:val="22"/>
        </w:rPr>
        <w:t>randum</w:t>
      </w:r>
      <w:r w:rsidR="005D2E75" w:rsidRPr="00C20664">
        <w:rPr>
          <w:rFonts w:asciiTheme="minorHAnsi" w:hAnsiTheme="minorHAnsi" w:cstheme="minorHAnsi"/>
          <w:sz w:val="22"/>
          <w:szCs w:val="22"/>
        </w:rPr>
        <w:t xml:space="preserve"> </w:t>
      </w:r>
      <w:r w:rsidRPr="00C20664">
        <w:rPr>
          <w:rFonts w:asciiTheme="minorHAnsi" w:hAnsiTheme="minorHAnsi" w:cstheme="minorHAnsi"/>
          <w:sz w:val="22"/>
          <w:szCs w:val="22"/>
        </w:rPr>
        <w:t xml:space="preserve">does not provide data on landowner willingness or specific project feasibility at a site-specific scale. The document only provides prioritization at the GSU scale; prioritization based on potential habitat uplift </w:t>
      </w:r>
      <w:r w:rsidRPr="00C20664">
        <w:rPr>
          <w:rFonts w:asciiTheme="minorHAnsi" w:hAnsiTheme="minorHAnsi" w:cstheme="minorHAnsi"/>
          <w:i/>
          <w:iCs/>
          <w:sz w:val="22"/>
          <w:szCs w:val="22"/>
        </w:rPr>
        <w:t>within</w:t>
      </w:r>
      <w:r w:rsidRPr="00C20664">
        <w:rPr>
          <w:rFonts w:asciiTheme="minorHAnsi" w:hAnsiTheme="minorHAnsi" w:cstheme="minorHAnsi"/>
          <w:sz w:val="22"/>
          <w:szCs w:val="22"/>
        </w:rPr>
        <w:t xml:space="preserve"> a GSU requires additional site assessments and landowner outreach, which are the focus of this grant.</w:t>
      </w:r>
    </w:p>
    <w:p w14:paraId="43564776" w14:textId="2ABAEBB8" w:rsidR="00B51C6F" w:rsidRPr="00C20664" w:rsidRDefault="755AED62" w:rsidP="00C20664">
      <w:pPr>
        <w:pStyle w:val="BodyTextPre-list"/>
        <w:rPr>
          <w:rFonts w:asciiTheme="minorHAnsi" w:hAnsiTheme="minorHAnsi" w:cstheme="minorHAnsi"/>
          <w:sz w:val="22"/>
          <w:szCs w:val="22"/>
        </w:rPr>
      </w:pPr>
      <w:r w:rsidRPr="00C20664">
        <w:rPr>
          <w:rFonts w:asciiTheme="minorHAnsi" w:hAnsiTheme="minorHAnsi" w:cstheme="minorHAnsi"/>
          <w:sz w:val="22"/>
          <w:szCs w:val="22"/>
        </w:rPr>
        <w:t>Local Strategy Grants must meet the following requirements:</w:t>
      </w:r>
    </w:p>
    <w:p w14:paraId="71E1138F" w14:textId="5D188C99" w:rsidR="00A34E68" w:rsidRPr="00297E7F" w:rsidRDefault="755AED62" w:rsidP="00297E7F">
      <w:pPr>
        <w:pStyle w:val="ListBullet"/>
      </w:pPr>
      <w:r w:rsidRPr="00297E7F">
        <w:t>Be located within a near-term GSU as determined by the ASRP Prioritization and Sequencing</w:t>
      </w:r>
    </w:p>
    <w:p w14:paraId="51CDD97F" w14:textId="255F6945" w:rsidR="002449B8" w:rsidRPr="00297E7F" w:rsidRDefault="755AED62" w:rsidP="00297E7F">
      <w:pPr>
        <w:pStyle w:val="ListBullet"/>
      </w:pPr>
      <w:r w:rsidRPr="00297E7F">
        <w:t xml:space="preserve">Conduct landowner outreach and/or site assessment activities over a physically or biologically significant area, such as the entire GSU, a majority of the GSU, a large geographic area encompassing multiple GSUs, or a large geographic area that might include multiple reaches </w:t>
      </w:r>
    </w:p>
    <w:p w14:paraId="662D7B73" w14:textId="5F244A18" w:rsidR="00BF5073" w:rsidRPr="00C20664" w:rsidRDefault="46A98E90" w:rsidP="00B51C6F">
      <w:pPr>
        <w:pStyle w:val="BodyText"/>
        <w:rPr>
          <w:rFonts w:asciiTheme="minorHAnsi" w:hAnsiTheme="minorHAnsi" w:cstheme="minorHAnsi"/>
          <w:sz w:val="22"/>
          <w:szCs w:val="22"/>
        </w:rPr>
      </w:pPr>
      <w:r w:rsidRPr="00C20664">
        <w:rPr>
          <w:rFonts w:asciiTheme="minorHAnsi" w:hAnsiTheme="minorHAnsi" w:cstheme="minorHAnsi"/>
          <w:sz w:val="22"/>
          <w:szCs w:val="22"/>
        </w:rPr>
        <w:lastRenderedPageBreak/>
        <w:t xml:space="preserve">There is no maximum funding amount for Local Strategy </w:t>
      </w:r>
      <w:r w:rsidR="0067368C">
        <w:rPr>
          <w:rFonts w:asciiTheme="minorHAnsi" w:hAnsiTheme="minorHAnsi" w:cstheme="minorHAnsi"/>
          <w:sz w:val="22"/>
          <w:szCs w:val="22"/>
        </w:rPr>
        <w:t>G</w:t>
      </w:r>
      <w:r w:rsidRPr="00C20664">
        <w:rPr>
          <w:rFonts w:asciiTheme="minorHAnsi" w:hAnsiTheme="minorHAnsi" w:cstheme="minorHAnsi"/>
          <w:sz w:val="22"/>
          <w:szCs w:val="22"/>
        </w:rPr>
        <w:t xml:space="preserve">rants. However, these grants are intended to cover large geographic areas for minimal investments. A typical GSU Local Strategy Grant is anticipated to cost between $50,000 and $150,000 in total and include one or more ASRP sponsor organizations. </w:t>
      </w:r>
    </w:p>
    <w:p w14:paraId="4ECD264A" w14:textId="01A3A87E" w:rsidR="002449B8" w:rsidRPr="00DB1580" w:rsidRDefault="47EB709D" w:rsidP="00611A87">
      <w:pPr>
        <w:pStyle w:val="Heading2"/>
        <w:rPr>
          <w:rFonts w:ascii="Cambria" w:hAnsi="Cambria"/>
          <w:color w:val="065861"/>
        </w:rPr>
      </w:pPr>
      <w:r w:rsidRPr="00DB1580">
        <w:rPr>
          <w:rFonts w:ascii="Cambria" w:hAnsi="Cambria"/>
          <w:color w:val="065861"/>
        </w:rPr>
        <w:t>Eligible Local Strategy Grant Activities</w:t>
      </w:r>
    </w:p>
    <w:p w14:paraId="4D35531F" w14:textId="3B88E55D" w:rsidR="00661A8E" w:rsidRPr="00C20664" w:rsidRDefault="60F0B2AB" w:rsidP="00C20664">
      <w:pPr>
        <w:pStyle w:val="BodyTextPre-list"/>
        <w:rPr>
          <w:rFonts w:ascii="Calibri" w:hAnsi="Calibri" w:cs="Calibri"/>
          <w:sz w:val="22"/>
          <w:szCs w:val="22"/>
        </w:rPr>
      </w:pPr>
      <w:r w:rsidRPr="00C20664">
        <w:rPr>
          <w:rFonts w:ascii="Calibri" w:hAnsi="Calibri" w:cs="Calibri"/>
          <w:sz w:val="22"/>
          <w:szCs w:val="22"/>
        </w:rPr>
        <w:t>The following activities are considered eligible for this grant:</w:t>
      </w:r>
    </w:p>
    <w:p w14:paraId="6B6FDEF4" w14:textId="453DBA47" w:rsidR="00661A8E" w:rsidRPr="00297E7F" w:rsidRDefault="47EB709D" w:rsidP="00297E7F">
      <w:pPr>
        <w:pStyle w:val="ListBullet"/>
      </w:pPr>
      <w:r w:rsidRPr="00297E7F">
        <w:t>Compiling existing reports and datasets available for the focal area</w:t>
      </w:r>
    </w:p>
    <w:p w14:paraId="11C2BDC8" w14:textId="21790A3D" w:rsidR="00661A8E" w:rsidRPr="00297E7F" w:rsidRDefault="47EB709D" w:rsidP="00297E7F">
      <w:pPr>
        <w:pStyle w:val="ListBullet"/>
      </w:pPr>
      <w:r w:rsidRPr="00297E7F">
        <w:t xml:space="preserve">Outreach to landowners and other </w:t>
      </w:r>
      <w:r w:rsidR="005B1DC1" w:rsidRPr="00297E7F">
        <w:t>interested or affected parties</w:t>
      </w:r>
      <w:r w:rsidRPr="00297E7F">
        <w:t xml:space="preserve"> to lay the groundwork to engage on project actions that align with ASRP priorities for the GSU</w:t>
      </w:r>
    </w:p>
    <w:p w14:paraId="335BB0DB" w14:textId="0E3B566F" w:rsidR="00E3797A" w:rsidRDefault="755AED62" w:rsidP="00E3797A">
      <w:pPr>
        <w:pStyle w:val="ListBullet"/>
        <w:tabs>
          <w:tab w:val="clear" w:pos="360"/>
          <w:tab w:val="num" w:pos="720"/>
        </w:tabs>
        <w:ind w:left="720"/>
      </w:pPr>
      <w:r>
        <w:t>For example</w:t>
      </w:r>
      <w:r w:rsidR="00297E7F">
        <w:t>,</w:t>
      </w:r>
      <w:r>
        <w:t xml:space="preserve"> mailers, workshops, presenting at local community meetings, individual landowner meetings, and other targeted outreach activities</w:t>
      </w:r>
    </w:p>
    <w:p w14:paraId="76F75C3F" w14:textId="3407E8F6" w:rsidR="00661A8E" w:rsidRDefault="755AED62" w:rsidP="00661A8E">
      <w:pPr>
        <w:pStyle w:val="ListBullet"/>
      </w:pPr>
      <w:r>
        <w:t>Data collection for initial assessment</w:t>
      </w:r>
    </w:p>
    <w:p w14:paraId="0A9ADEBE" w14:textId="156FA064" w:rsidR="00661A8E" w:rsidRDefault="755AED62" w:rsidP="00301061">
      <w:pPr>
        <w:pStyle w:val="ListBullet"/>
        <w:tabs>
          <w:tab w:val="clear" w:pos="360"/>
          <w:tab w:val="num" w:pos="720"/>
        </w:tabs>
        <w:ind w:left="720"/>
      </w:pPr>
      <w:r>
        <w:t>For example</w:t>
      </w:r>
      <w:r w:rsidR="00297E7F">
        <w:t>,</w:t>
      </w:r>
      <w:r>
        <w:t xml:space="preserve"> assessment that quantifies habitat characteristics, limiting factors present, current species use</w:t>
      </w:r>
      <w:r w:rsidR="00FD01E0">
        <w:t>/distribution</w:t>
      </w:r>
      <w:r>
        <w:t>, geomorphology, land uses, legal constraints, and other potential project constraints within the focal area</w:t>
      </w:r>
    </w:p>
    <w:p w14:paraId="725FCA41" w14:textId="7668DB6A" w:rsidR="00661A8E" w:rsidRDefault="60F0B2AB" w:rsidP="00661A8E">
      <w:pPr>
        <w:pStyle w:val="ListBullet"/>
      </w:pPr>
      <w:r>
        <w:t>Development of project opportunities/project concept plan</w:t>
      </w:r>
      <w:r w:rsidR="00B70218">
        <w:t>s</w:t>
      </w:r>
      <w:r>
        <w:t xml:space="preserve"> in coordination with landowner(s)</w:t>
      </w:r>
    </w:p>
    <w:p w14:paraId="5FDF1865" w14:textId="4751CA1E" w:rsidR="00661A8E" w:rsidRDefault="47EB709D" w:rsidP="00661A8E">
      <w:pPr>
        <w:pStyle w:val="ListBullet"/>
        <w:tabs>
          <w:tab w:val="clear" w:pos="360"/>
          <w:tab w:val="num" w:pos="720"/>
        </w:tabs>
        <w:ind w:left="720"/>
      </w:pPr>
      <w:r>
        <w:t xml:space="preserve">Includes proposed restoration or protection actions, rationale, and a conceptual map with project area and concept features outlined </w:t>
      </w:r>
    </w:p>
    <w:p w14:paraId="7AEF86A8" w14:textId="7686F510" w:rsidR="00463996" w:rsidRDefault="00463996" w:rsidP="00463996">
      <w:pPr>
        <w:pStyle w:val="ListBullet"/>
      </w:pPr>
      <w:r>
        <w:t>Modeling activities related to concept-level site assessments and prioritization</w:t>
      </w:r>
    </w:p>
    <w:p w14:paraId="32744F0A" w14:textId="791BA1AD" w:rsidR="00463996" w:rsidRDefault="00463996" w:rsidP="00463996">
      <w:pPr>
        <w:pStyle w:val="ListBullet"/>
        <w:tabs>
          <w:tab w:val="clear" w:pos="360"/>
          <w:tab w:val="num" w:pos="720"/>
        </w:tabs>
        <w:ind w:left="720"/>
      </w:pPr>
      <w:r>
        <w:t xml:space="preserve">For example, hydrology, wood loading, </w:t>
      </w:r>
      <w:r w:rsidR="00297E7F">
        <w:t xml:space="preserve">and </w:t>
      </w:r>
      <w:r>
        <w:t>site suitability</w:t>
      </w:r>
    </w:p>
    <w:p w14:paraId="78C9BCC8" w14:textId="0E461CDB" w:rsidR="00661A8E" w:rsidRDefault="47EB709D" w:rsidP="00661A8E">
      <w:pPr>
        <w:pStyle w:val="ListBullet"/>
      </w:pPr>
      <w:r>
        <w:t>Coordination with technical and local experts to learn about the conditions in the focal areas and any potential projects’ merits or drawbacks</w:t>
      </w:r>
    </w:p>
    <w:p w14:paraId="0CB7D368" w14:textId="35E4F447" w:rsidR="00661A8E" w:rsidRDefault="47EB709D" w:rsidP="00661A8E">
      <w:pPr>
        <w:pStyle w:val="ListBullet"/>
      </w:pPr>
      <w:r>
        <w:t>Development of initial cost estimates for design, construction, and/or acquisition at the site level</w:t>
      </w:r>
    </w:p>
    <w:p w14:paraId="492B0218" w14:textId="7693A9EC" w:rsidR="60F0B2AB" w:rsidRDefault="47EB709D" w:rsidP="60F0B2AB">
      <w:pPr>
        <w:pStyle w:val="ListBullet"/>
      </w:pPr>
      <w:r>
        <w:t>Participation in the RIT</w:t>
      </w:r>
    </w:p>
    <w:p w14:paraId="28D4E8EF" w14:textId="35DEA663" w:rsidR="00F81452" w:rsidRDefault="00F81452" w:rsidP="60F0B2AB">
      <w:pPr>
        <w:pStyle w:val="ListBullet"/>
      </w:pPr>
      <w:r>
        <w:t>Costs of preparing ASRP grant materials and applications for additional work in the focal area</w:t>
      </w:r>
    </w:p>
    <w:p w14:paraId="604413C1" w14:textId="19EAA7F7" w:rsidR="00764303" w:rsidRDefault="00764303" w:rsidP="60F0B2AB">
      <w:pPr>
        <w:pStyle w:val="ListBullet"/>
      </w:pPr>
      <w:r>
        <w:t>Indirect/</w:t>
      </w:r>
      <w:r w:rsidR="00297E7F">
        <w:t>o</w:t>
      </w:r>
      <w:r>
        <w:t xml:space="preserve">verhead costs </w:t>
      </w:r>
    </w:p>
    <w:p w14:paraId="098AD8DE" w14:textId="0F843ECD" w:rsidR="00611A87" w:rsidRPr="00DB1580" w:rsidRDefault="47EB709D" w:rsidP="00193CB9">
      <w:pPr>
        <w:pStyle w:val="Heading2"/>
        <w:rPr>
          <w:rFonts w:ascii="Cambria" w:hAnsi="Cambria"/>
          <w:color w:val="065861"/>
        </w:rPr>
      </w:pPr>
      <w:r w:rsidRPr="00DB1580">
        <w:rPr>
          <w:rFonts w:ascii="Cambria" w:hAnsi="Cambria"/>
          <w:color w:val="065861"/>
        </w:rPr>
        <w:t>Ineligible Local Strategy Grant Activities</w:t>
      </w:r>
    </w:p>
    <w:p w14:paraId="410CA250" w14:textId="0F20C28C" w:rsidR="007D4E50" w:rsidRDefault="46A98E90" w:rsidP="00204DB7">
      <w:pPr>
        <w:pStyle w:val="ListBullet"/>
      </w:pPr>
      <w:r>
        <w:t>Educational events that would not result in a specific project as an outcome</w:t>
      </w:r>
    </w:p>
    <w:p w14:paraId="577B00D8" w14:textId="7C890CC7" w:rsidR="00F633A7" w:rsidRDefault="46A98E90" w:rsidP="00204DB7">
      <w:pPr>
        <w:pStyle w:val="ListBullet"/>
      </w:pPr>
      <w:r>
        <w:t>Design engineering</w:t>
      </w:r>
    </w:p>
    <w:p w14:paraId="54AB1901" w14:textId="7135F507" w:rsidR="00764303" w:rsidRDefault="00764303" w:rsidP="00204DB7">
      <w:pPr>
        <w:pStyle w:val="ListBullet"/>
      </w:pPr>
      <w:r>
        <w:t xml:space="preserve">Equipment (items costing $5,000 and above), unless sponsor has written approval by </w:t>
      </w:r>
      <w:r w:rsidR="00C2477B">
        <w:t>the Washington Department of Fish and Wildlife (</w:t>
      </w:r>
      <w:r>
        <w:t>WDFW</w:t>
      </w:r>
      <w:r w:rsidR="00C2477B">
        <w:t>)</w:t>
      </w:r>
    </w:p>
    <w:p w14:paraId="7E351551" w14:textId="11D0168B" w:rsidR="00F633A7" w:rsidRPr="00DB1580" w:rsidRDefault="47EB709D" w:rsidP="009708E2">
      <w:pPr>
        <w:pStyle w:val="Heading2"/>
        <w:rPr>
          <w:rFonts w:ascii="Cambria" w:hAnsi="Cambria"/>
          <w:color w:val="065861"/>
        </w:rPr>
      </w:pPr>
      <w:r w:rsidRPr="00DB1580">
        <w:rPr>
          <w:rFonts w:ascii="Cambria" w:hAnsi="Cambria"/>
          <w:color w:val="065861"/>
        </w:rPr>
        <w:t xml:space="preserve">Local Strategy </w:t>
      </w:r>
      <w:r w:rsidR="0067368C">
        <w:rPr>
          <w:rFonts w:ascii="Cambria" w:hAnsi="Cambria"/>
          <w:color w:val="065861"/>
        </w:rPr>
        <w:t xml:space="preserve">Grant </w:t>
      </w:r>
      <w:r w:rsidRPr="00DB1580">
        <w:rPr>
          <w:rFonts w:ascii="Cambria" w:hAnsi="Cambria"/>
          <w:color w:val="065861"/>
        </w:rPr>
        <w:t>Deliverables</w:t>
      </w:r>
    </w:p>
    <w:p w14:paraId="79DB6356" w14:textId="122B25B3" w:rsidR="005B1DC1" w:rsidRPr="00C20664" w:rsidRDefault="47EB709D" w:rsidP="00C20664">
      <w:pPr>
        <w:pStyle w:val="BodyTextPre-list"/>
        <w:rPr>
          <w:rFonts w:ascii="Calibri" w:hAnsi="Calibri" w:cs="Calibri"/>
          <w:sz w:val="22"/>
          <w:szCs w:val="22"/>
        </w:rPr>
      </w:pPr>
      <w:r w:rsidRPr="00C20664">
        <w:rPr>
          <w:rFonts w:ascii="Calibri" w:hAnsi="Calibri" w:cs="Calibri"/>
          <w:sz w:val="22"/>
          <w:szCs w:val="22"/>
        </w:rPr>
        <w:t xml:space="preserve">The goal of Local Strategy Grants is to create plans for implementing projects that achieve ASRP habitat objectives, as outlined within the </w:t>
      </w:r>
      <w:hyperlink r:id="rId14" w:history="1">
        <w:r w:rsidRPr="00C20664">
          <w:rPr>
            <w:rStyle w:val="Hyperlink"/>
            <w:rFonts w:ascii="Calibri" w:hAnsi="Calibri" w:cs="Calibri"/>
            <w:sz w:val="22"/>
            <w:szCs w:val="22"/>
          </w:rPr>
          <w:t>ASRP Phase 1 document</w:t>
        </w:r>
      </w:hyperlink>
      <w:r w:rsidRPr="00C20664">
        <w:rPr>
          <w:rFonts w:ascii="Calibri" w:hAnsi="Calibri" w:cs="Calibri"/>
          <w:sz w:val="22"/>
          <w:szCs w:val="22"/>
        </w:rPr>
        <w:t xml:space="preserve">, within large geographical areas. It is expected that this will require coordination and collaboration across multiple organizations. </w:t>
      </w:r>
      <w:r w:rsidR="005B1DC1" w:rsidRPr="00C20664">
        <w:rPr>
          <w:rFonts w:ascii="Calibri" w:hAnsi="Calibri" w:cs="Calibri"/>
          <w:sz w:val="22"/>
          <w:szCs w:val="22"/>
        </w:rPr>
        <w:t xml:space="preserve">Deliverables for </w:t>
      </w:r>
      <w:r w:rsidRPr="00C20664">
        <w:rPr>
          <w:rFonts w:ascii="Calibri" w:hAnsi="Calibri" w:cs="Calibri"/>
          <w:sz w:val="22"/>
          <w:szCs w:val="22"/>
        </w:rPr>
        <w:t xml:space="preserve">Local Strategy </w:t>
      </w:r>
      <w:r w:rsidR="005B1DC1" w:rsidRPr="00C20664">
        <w:rPr>
          <w:rFonts w:ascii="Calibri" w:hAnsi="Calibri" w:cs="Calibri"/>
          <w:sz w:val="22"/>
          <w:szCs w:val="22"/>
        </w:rPr>
        <w:t>Grants include</w:t>
      </w:r>
      <w:r w:rsidR="00122D88" w:rsidRPr="00C20664">
        <w:rPr>
          <w:rFonts w:ascii="Calibri" w:hAnsi="Calibri" w:cs="Calibri"/>
          <w:sz w:val="22"/>
          <w:szCs w:val="22"/>
        </w:rPr>
        <w:t xml:space="preserve"> </w:t>
      </w:r>
      <w:proofErr w:type="gramStart"/>
      <w:r w:rsidR="00122D88" w:rsidRPr="00C20664">
        <w:rPr>
          <w:rFonts w:ascii="Calibri" w:hAnsi="Calibri" w:cs="Calibri"/>
          <w:sz w:val="22"/>
          <w:szCs w:val="22"/>
        </w:rPr>
        <w:t>all of</w:t>
      </w:r>
      <w:proofErr w:type="gramEnd"/>
      <w:r w:rsidR="00122D88" w:rsidRPr="00C20664">
        <w:rPr>
          <w:rFonts w:ascii="Calibri" w:hAnsi="Calibri" w:cs="Calibri"/>
          <w:sz w:val="22"/>
          <w:szCs w:val="22"/>
        </w:rPr>
        <w:t xml:space="preserve"> the following</w:t>
      </w:r>
      <w:r w:rsidR="005B1DC1" w:rsidRPr="00C20664">
        <w:rPr>
          <w:rFonts w:ascii="Calibri" w:hAnsi="Calibri" w:cs="Calibri"/>
          <w:sz w:val="22"/>
          <w:szCs w:val="22"/>
        </w:rPr>
        <w:t>:</w:t>
      </w:r>
    </w:p>
    <w:p w14:paraId="35B945DB" w14:textId="69135E83" w:rsidR="005B1DC1" w:rsidRDefault="46A98E90" w:rsidP="005B1DC1">
      <w:pPr>
        <w:pStyle w:val="ListBullet"/>
      </w:pPr>
      <w:r>
        <w:t xml:space="preserve">A presentation of the </w:t>
      </w:r>
      <w:r w:rsidR="0067368C">
        <w:t>l</w:t>
      </w:r>
      <w:r>
        <w:t xml:space="preserve">ocal </w:t>
      </w:r>
      <w:r w:rsidR="0067368C">
        <w:t>s</w:t>
      </w:r>
      <w:r>
        <w:t xml:space="preserve">trategy results to both the ASRP RITs and the ASRP Steering Committee using a template provided by the ASRP </w:t>
      </w:r>
    </w:p>
    <w:p w14:paraId="35768C58" w14:textId="34C31E45" w:rsidR="005B1DC1" w:rsidRDefault="46A98E90" w:rsidP="005B1DC1">
      <w:pPr>
        <w:pStyle w:val="ListBullet"/>
      </w:pPr>
      <w:r>
        <w:t xml:space="preserve">A report documenting landowner willingness and/or site assessment information using a </w:t>
      </w:r>
      <w:hyperlink r:id="rId15" w:history="1">
        <w:r w:rsidRPr="00585EE4">
          <w:rPr>
            <w:rStyle w:val="Hyperlink"/>
          </w:rPr>
          <w:t>template</w:t>
        </w:r>
      </w:hyperlink>
      <w:r w:rsidR="00585EE4">
        <w:t>:</w:t>
      </w:r>
      <w:r w:rsidR="000B298A">
        <w:t xml:space="preserve"> </w:t>
      </w:r>
    </w:p>
    <w:p w14:paraId="2ADE7AD1" w14:textId="207B70BC" w:rsidR="005B1DC1" w:rsidRDefault="46A98E90" w:rsidP="005B1DC1">
      <w:pPr>
        <w:pStyle w:val="ListBullet"/>
        <w:tabs>
          <w:tab w:val="clear" w:pos="360"/>
          <w:tab w:val="num" w:pos="720"/>
        </w:tabs>
        <w:ind w:left="720"/>
      </w:pPr>
      <w:r>
        <w:t xml:space="preserve">This report will provide data </w:t>
      </w:r>
      <w:r w:rsidR="00FC5420">
        <w:t>that will</w:t>
      </w:r>
      <w:r>
        <w:t xml:space="preserve"> be added to a project development database maintained by the RIT Leads but not otherwise publicly accessible. </w:t>
      </w:r>
    </w:p>
    <w:p w14:paraId="03786B0D" w14:textId="3B678A7C" w:rsidR="00CE2774" w:rsidRDefault="46A98E90" w:rsidP="005B1DC1">
      <w:pPr>
        <w:pStyle w:val="ListBullet"/>
        <w:tabs>
          <w:tab w:val="clear" w:pos="360"/>
          <w:tab w:val="num" w:pos="720"/>
        </w:tabs>
        <w:ind w:left="720"/>
      </w:pPr>
      <w:r>
        <w:lastRenderedPageBreak/>
        <w:t xml:space="preserve">Landowners interested in potential ASRP projects will formalize their interest by signing the </w:t>
      </w:r>
      <w:hyperlink r:id="rId16" w:history="1">
        <w:r w:rsidRPr="00BF4A6E">
          <w:rPr>
            <w:rStyle w:val="Hyperlink"/>
          </w:rPr>
          <w:t>ASRP landowner acknowledgement form</w:t>
        </w:r>
      </w:hyperlink>
      <w:r>
        <w:t>. These forms should be attached to the summary report</w:t>
      </w:r>
      <w:r w:rsidR="00FC5420">
        <w:t>.</w:t>
      </w:r>
    </w:p>
    <w:p w14:paraId="2CBBF20E" w14:textId="6685C717" w:rsidR="00CE2774" w:rsidRDefault="46A98E90" w:rsidP="47EB709D">
      <w:pPr>
        <w:pStyle w:val="ListBullet"/>
        <w:tabs>
          <w:tab w:val="clear" w:pos="360"/>
          <w:tab w:val="num" w:pos="720"/>
        </w:tabs>
        <w:ind w:left="720"/>
      </w:pPr>
      <w:r>
        <w:t>Sponsors should indicate their</w:t>
      </w:r>
      <w:r w:rsidR="009800F8">
        <w:t xml:space="preserve"> level</w:t>
      </w:r>
      <w:r>
        <w:t xml:space="preserve"> </w:t>
      </w:r>
      <w:r w:rsidR="002F2A73">
        <w:t xml:space="preserve">of </w:t>
      </w:r>
      <w:r>
        <w:t>capacity and interest in taking on the projects identified in their final report.</w:t>
      </w:r>
    </w:p>
    <w:p w14:paraId="27E3BCA6" w14:textId="3C3710DC" w:rsidR="60F0B2AB" w:rsidRDefault="46A98E90" w:rsidP="47EB709D">
      <w:pPr>
        <w:pStyle w:val="ListBullet"/>
        <w:tabs>
          <w:tab w:val="clear" w:pos="360"/>
          <w:tab w:val="num" w:pos="720"/>
        </w:tabs>
        <w:ind w:left="720"/>
      </w:pPr>
      <w:r>
        <w:t>Sponsors should allocate 8</w:t>
      </w:r>
      <w:r w:rsidR="00D44C48">
        <w:t xml:space="preserve"> to </w:t>
      </w:r>
      <w:r>
        <w:t xml:space="preserve">16 hours within their grant for coordination on next steps for implementing their </w:t>
      </w:r>
      <w:r w:rsidR="00FC5420">
        <w:t xml:space="preserve">local </w:t>
      </w:r>
      <w:r>
        <w:t>strategies</w:t>
      </w:r>
      <w:r w:rsidR="00FC5420">
        <w:t>.</w:t>
      </w:r>
      <w:r>
        <w:t xml:space="preserve"> </w:t>
      </w:r>
    </w:p>
    <w:p w14:paraId="157B1744" w14:textId="17C064E4" w:rsidR="003C5508" w:rsidRPr="00C20664" w:rsidRDefault="47EB709D" w:rsidP="003C5508">
      <w:pPr>
        <w:pStyle w:val="BodyText"/>
        <w:rPr>
          <w:rFonts w:ascii="Calibri" w:hAnsi="Calibri" w:cs="Calibri"/>
          <w:sz w:val="22"/>
          <w:szCs w:val="22"/>
        </w:rPr>
      </w:pPr>
      <w:r w:rsidRPr="00C20664">
        <w:rPr>
          <w:rFonts w:ascii="Calibri" w:hAnsi="Calibri" w:cs="Calibri"/>
          <w:sz w:val="22"/>
          <w:szCs w:val="22"/>
        </w:rPr>
        <w:t xml:space="preserve">Local Strategy Grants do not guarantee that resulting project concepts will be included </w:t>
      </w:r>
      <w:r w:rsidR="002F2A73" w:rsidRPr="00C20664">
        <w:rPr>
          <w:rFonts w:ascii="Calibri" w:hAnsi="Calibri" w:cs="Calibri"/>
          <w:sz w:val="22"/>
          <w:szCs w:val="22"/>
        </w:rPr>
        <w:t>i</w:t>
      </w:r>
      <w:r w:rsidRPr="00C20664">
        <w:rPr>
          <w:rFonts w:ascii="Calibri" w:hAnsi="Calibri" w:cs="Calibri"/>
          <w:sz w:val="22"/>
          <w:szCs w:val="22"/>
        </w:rPr>
        <w:t>n the ASRP Steering Committee’s project portfolio. Sponsors may have multiple Local Strategy Grants active</w:t>
      </w:r>
      <w:r w:rsidR="00CE2774" w:rsidRPr="00C20664">
        <w:rPr>
          <w:rFonts w:ascii="Calibri" w:hAnsi="Calibri" w:cs="Calibri"/>
          <w:sz w:val="22"/>
          <w:szCs w:val="22"/>
        </w:rPr>
        <w:t>.</w:t>
      </w:r>
    </w:p>
    <w:p w14:paraId="7BCC0C82" w14:textId="2DAF0E2D" w:rsidR="000A5030" w:rsidRPr="00DB1580" w:rsidRDefault="00C16259" w:rsidP="005B3D53">
      <w:pPr>
        <w:pStyle w:val="Heading1"/>
        <w:rPr>
          <w:b/>
          <w:bCs/>
          <w:color w:val="065861"/>
        </w:rPr>
      </w:pPr>
      <w:r w:rsidRPr="00DB1580">
        <w:rPr>
          <w:b/>
          <w:bCs/>
          <w:color w:val="065861"/>
        </w:rPr>
        <w:t>Project Initialization</w:t>
      </w:r>
      <w:r w:rsidR="007F3EFD" w:rsidRPr="00DB1580">
        <w:rPr>
          <w:b/>
          <w:bCs/>
          <w:color w:val="065861"/>
        </w:rPr>
        <w:t xml:space="preserve"> </w:t>
      </w:r>
      <w:r w:rsidR="00B9442C" w:rsidRPr="00DB1580">
        <w:rPr>
          <w:b/>
          <w:bCs/>
          <w:color w:val="065861"/>
        </w:rPr>
        <w:t>Grants</w:t>
      </w:r>
    </w:p>
    <w:p w14:paraId="75034C28" w14:textId="3AA0AE58" w:rsidR="00E04D76" w:rsidRPr="00C20664" w:rsidRDefault="47EB709D" w:rsidP="00C20664">
      <w:pPr>
        <w:pStyle w:val="BodyText"/>
        <w:rPr>
          <w:rFonts w:ascii="Calibri" w:hAnsi="Calibri" w:cs="Calibri"/>
          <w:sz w:val="22"/>
          <w:szCs w:val="22"/>
        </w:rPr>
      </w:pPr>
      <w:r w:rsidRPr="00C20664">
        <w:rPr>
          <w:rFonts w:ascii="Calibri" w:hAnsi="Calibri" w:cs="Calibri"/>
          <w:sz w:val="22"/>
          <w:szCs w:val="22"/>
        </w:rPr>
        <w:t>Project Initialization Grants are for projects with a</w:t>
      </w:r>
      <w:r w:rsidR="00553FEC" w:rsidRPr="00C20664">
        <w:rPr>
          <w:rFonts w:ascii="Calibri" w:hAnsi="Calibri" w:cs="Calibri"/>
          <w:sz w:val="22"/>
          <w:szCs w:val="22"/>
        </w:rPr>
        <w:t xml:space="preserve"> speci</w:t>
      </w:r>
      <w:r w:rsidR="00E16563" w:rsidRPr="00C20664">
        <w:rPr>
          <w:rFonts w:ascii="Calibri" w:hAnsi="Calibri" w:cs="Calibri"/>
          <w:sz w:val="22"/>
          <w:szCs w:val="22"/>
        </w:rPr>
        <w:t>fic</w:t>
      </w:r>
      <w:r w:rsidRPr="00C20664">
        <w:rPr>
          <w:rFonts w:ascii="Calibri" w:hAnsi="Calibri" w:cs="Calibri"/>
          <w:sz w:val="22"/>
          <w:szCs w:val="22"/>
        </w:rPr>
        <w:t xml:space="preserve"> location, willing landowner, and </w:t>
      </w:r>
      <w:r w:rsidR="00CE2774" w:rsidRPr="00C20664">
        <w:rPr>
          <w:rFonts w:ascii="Calibri" w:hAnsi="Calibri" w:cs="Calibri"/>
          <w:sz w:val="22"/>
          <w:szCs w:val="22"/>
        </w:rPr>
        <w:t xml:space="preserve">the first stages of a </w:t>
      </w:r>
      <w:r w:rsidRPr="00C20664">
        <w:rPr>
          <w:rFonts w:ascii="Calibri" w:hAnsi="Calibri" w:cs="Calibri"/>
          <w:sz w:val="22"/>
          <w:szCs w:val="22"/>
        </w:rPr>
        <w:t xml:space="preserve">preliminary project concept already in place </w:t>
      </w:r>
      <w:r w:rsidR="00CE2774" w:rsidRPr="00C20664">
        <w:rPr>
          <w:rFonts w:ascii="Calibri" w:hAnsi="Calibri" w:cs="Calibri"/>
          <w:sz w:val="22"/>
          <w:szCs w:val="22"/>
        </w:rPr>
        <w:t>but</w:t>
      </w:r>
      <w:r w:rsidRPr="00C20664">
        <w:rPr>
          <w:rFonts w:ascii="Calibri" w:hAnsi="Calibri" w:cs="Calibri"/>
          <w:sz w:val="22"/>
          <w:szCs w:val="22"/>
        </w:rPr>
        <w:t xml:space="preserve"> </w:t>
      </w:r>
      <w:r w:rsidR="00AF0C8B">
        <w:rPr>
          <w:rFonts w:ascii="Calibri" w:hAnsi="Calibri" w:cs="Calibri"/>
          <w:sz w:val="22"/>
          <w:szCs w:val="22"/>
        </w:rPr>
        <w:t>that</w:t>
      </w:r>
      <w:r w:rsidR="00AF0C8B" w:rsidRPr="00C20664">
        <w:rPr>
          <w:rFonts w:ascii="Calibri" w:hAnsi="Calibri" w:cs="Calibri"/>
          <w:sz w:val="22"/>
          <w:szCs w:val="22"/>
        </w:rPr>
        <w:t xml:space="preserve"> </w:t>
      </w:r>
      <w:r w:rsidRPr="00C20664">
        <w:rPr>
          <w:rFonts w:ascii="Calibri" w:hAnsi="Calibri" w:cs="Calibri"/>
          <w:sz w:val="22"/>
          <w:szCs w:val="22"/>
        </w:rPr>
        <w:t>still need a basis of design or other due</w:t>
      </w:r>
      <w:r w:rsidR="00D44C48" w:rsidRPr="00C20664">
        <w:rPr>
          <w:rFonts w:ascii="Calibri" w:hAnsi="Calibri" w:cs="Calibri"/>
          <w:sz w:val="22"/>
          <w:szCs w:val="22"/>
        </w:rPr>
        <w:t xml:space="preserve"> </w:t>
      </w:r>
      <w:r w:rsidRPr="00C20664">
        <w:rPr>
          <w:rFonts w:ascii="Calibri" w:hAnsi="Calibri" w:cs="Calibri"/>
          <w:sz w:val="22"/>
          <w:szCs w:val="22"/>
        </w:rPr>
        <w:t xml:space="preserve">diligence before being ready to apply for design funding.  </w:t>
      </w:r>
    </w:p>
    <w:p w14:paraId="182776EA" w14:textId="4AFD60BA" w:rsidR="00E04D76" w:rsidRPr="00C20664" w:rsidRDefault="47EB709D" w:rsidP="00C20664">
      <w:pPr>
        <w:pStyle w:val="BodyText"/>
        <w:rPr>
          <w:rFonts w:ascii="Calibri" w:hAnsi="Calibri" w:cs="Calibri"/>
          <w:spacing w:val="-4"/>
          <w:sz w:val="22"/>
          <w:szCs w:val="22"/>
        </w:rPr>
      </w:pPr>
      <w:r w:rsidRPr="00C20664">
        <w:rPr>
          <w:rFonts w:ascii="Calibri" w:hAnsi="Calibri" w:cs="Calibri"/>
          <w:spacing w:val="-4"/>
          <w:sz w:val="22"/>
          <w:szCs w:val="22"/>
        </w:rPr>
        <w:t xml:space="preserve">The ASRP allows for projects of any dollar amount to receive funding for design through construction without having to go through multiple rounds of grant applications. This can increase a sponsor’s willingness to work on a project because it allows for project sponsors to commit time and resources toward design knowing that they have a higher certainty of construction funding. However, </w:t>
      </w:r>
      <w:proofErr w:type="gramStart"/>
      <w:r w:rsidRPr="00C20664">
        <w:rPr>
          <w:rFonts w:ascii="Calibri" w:hAnsi="Calibri" w:cs="Calibri"/>
          <w:spacing w:val="-4"/>
          <w:sz w:val="22"/>
          <w:szCs w:val="22"/>
        </w:rPr>
        <w:t>in order to</w:t>
      </w:r>
      <w:proofErr w:type="gramEnd"/>
      <w:r w:rsidRPr="00C20664">
        <w:rPr>
          <w:rFonts w:ascii="Calibri" w:hAnsi="Calibri" w:cs="Calibri"/>
          <w:spacing w:val="-4"/>
          <w:sz w:val="22"/>
          <w:szCs w:val="22"/>
        </w:rPr>
        <w:t xml:space="preserve"> receive a design-build grant through the ASRP, a concept basis of design is expected at the time of application. Project Initialization Grants ensure a concept is ready for a design grant or a design-build grant. </w:t>
      </w:r>
    </w:p>
    <w:p w14:paraId="2E8813FF" w14:textId="5DBC1550" w:rsidR="008A2804" w:rsidRPr="00C20664" w:rsidRDefault="47EB709D" w:rsidP="00C20664">
      <w:pPr>
        <w:pStyle w:val="BodyText"/>
        <w:rPr>
          <w:rFonts w:ascii="Calibri" w:hAnsi="Calibri" w:cs="Calibri"/>
          <w:sz w:val="22"/>
          <w:szCs w:val="22"/>
        </w:rPr>
      </w:pPr>
      <w:r w:rsidRPr="00C20664">
        <w:rPr>
          <w:rFonts w:ascii="Calibri" w:hAnsi="Calibri" w:cs="Calibri"/>
          <w:sz w:val="22"/>
          <w:szCs w:val="22"/>
        </w:rPr>
        <w:t>There is no maximum funding amount for Project Initialization Grants. However, funding amounts are expected to scale with project size and scope</w:t>
      </w:r>
      <w:r w:rsidR="00E52484">
        <w:rPr>
          <w:rFonts w:ascii="Calibri" w:hAnsi="Calibri" w:cs="Calibri"/>
          <w:sz w:val="22"/>
          <w:szCs w:val="22"/>
        </w:rPr>
        <w:t>;</w:t>
      </w:r>
      <w:r w:rsidRPr="00C20664">
        <w:rPr>
          <w:rFonts w:ascii="Calibri" w:hAnsi="Calibri" w:cs="Calibri"/>
          <w:sz w:val="22"/>
          <w:szCs w:val="22"/>
        </w:rPr>
        <w:t xml:space="preserve"> </w:t>
      </w:r>
      <w:r w:rsidR="00E52484">
        <w:rPr>
          <w:rFonts w:ascii="Calibri" w:hAnsi="Calibri" w:cs="Calibri"/>
          <w:sz w:val="22"/>
          <w:szCs w:val="22"/>
        </w:rPr>
        <w:t>an</w:t>
      </w:r>
      <w:r w:rsidR="009800F8" w:rsidRPr="00C20664">
        <w:rPr>
          <w:rFonts w:ascii="Calibri" w:hAnsi="Calibri" w:cs="Calibri"/>
          <w:sz w:val="22"/>
          <w:szCs w:val="22"/>
        </w:rPr>
        <w:t xml:space="preserve"> example </w:t>
      </w:r>
      <w:r w:rsidR="00E52484">
        <w:rPr>
          <w:rFonts w:ascii="Calibri" w:hAnsi="Calibri" w:cs="Calibri"/>
          <w:sz w:val="22"/>
          <w:szCs w:val="22"/>
        </w:rPr>
        <w:t>i</w:t>
      </w:r>
      <w:r w:rsidRPr="00C20664">
        <w:rPr>
          <w:rFonts w:ascii="Calibri" w:hAnsi="Calibri" w:cs="Calibri"/>
          <w:sz w:val="22"/>
          <w:szCs w:val="22"/>
        </w:rPr>
        <w:t>s outlined in the</w:t>
      </w:r>
      <w:r w:rsidR="00E52484">
        <w:rPr>
          <w:rFonts w:ascii="Calibri" w:hAnsi="Calibri" w:cs="Calibri"/>
          <w:sz w:val="22"/>
          <w:szCs w:val="22"/>
        </w:rPr>
        <w:t xml:space="preserve"> following</w:t>
      </w:r>
      <w:r w:rsidRPr="00C20664">
        <w:rPr>
          <w:rFonts w:ascii="Calibri" w:hAnsi="Calibri" w:cs="Calibri"/>
          <w:sz w:val="22"/>
          <w:szCs w:val="22"/>
        </w:rPr>
        <w:t xml:space="preserve"> table:</w:t>
      </w:r>
    </w:p>
    <w:tbl>
      <w:tblPr>
        <w:tblW w:w="5000" w:type="pct"/>
        <w:tblBorders>
          <w:top w:val="single" w:sz="4" w:space="0" w:color="065861"/>
          <w:left w:val="single" w:sz="4" w:space="0" w:color="065861"/>
          <w:bottom w:val="single" w:sz="4" w:space="0" w:color="065861"/>
          <w:right w:val="single" w:sz="4" w:space="0" w:color="065861"/>
          <w:insideH w:val="single" w:sz="4" w:space="0" w:color="065861"/>
          <w:insideV w:val="single" w:sz="4" w:space="0" w:color="065861"/>
        </w:tblBorders>
        <w:tblCellMar>
          <w:left w:w="0" w:type="dxa"/>
          <w:right w:w="0" w:type="dxa"/>
        </w:tblCellMar>
        <w:tblLook w:val="01E0" w:firstRow="1" w:lastRow="1" w:firstColumn="1" w:lastColumn="1" w:noHBand="0" w:noVBand="0"/>
      </w:tblPr>
      <w:tblGrid>
        <w:gridCol w:w="4673"/>
        <w:gridCol w:w="4677"/>
      </w:tblGrid>
      <w:tr w:rsidR="00E04D76" w14:paraId="4A7FD76C" w14:textId="77777777" w:rsidTr="00C20664">
        <w:trPr>
          <w:trHeight w:val="501"/>
        </w:trPr>
        <w:tc>
          <w:tcPr>
            <w:tcW w:w="2499" w:type="pct"/>
            <w:shd w:val="clear" w:color="auto" w:fill="065861"/>
          </w:tcPr>
          <w:p w14:paraId="0910E2D5" w14:textId="77777777" w:rsidR="00E04D76" w:rsidRDefault="00E04D76">
            <w:pPr>
              <w:pStyle w:val="TableParagraph"/>
              <w:spacing w:before="11"/>
              <w:ind w:left="112"/>
              <w:rPr>
                <w:b/>
                <w:sz w:val="20"/>
              </w:rPr>
            </w:pPr>
            <w:r>
              <w:rPr>
                <w:b/>
                <w:color w:val="FFFFFF"/>
                <w:sz w:val="20"/>
              </w:rPr>
              <w:t>PROJECT</w:t>
            </w:r>
            <w:r>
              <w:rPr>
                <w:b/>
                <w:color w:val="FFFFFF"/>
                <w:spacing w:val="-11"/>
                <w:sz w:val="20"/>
              </w:rPr>
              <w:t xml:space="preserve"> </w:t>
            </w:r>
            <w:r>
              <w:rPr>
                <w:b/>
                <w:color w:val="FFFFFF"/>
                <w:spacing w:val="-4"/>
                <w:sz w:val="20"/>
              </w:rPr>
              <w:t>TYPE</w:t>
            </w:r>
          </w:p>
        </w:tc>
        <w:tc>
          <w:tcPr>
            <w:tcW w:w="2501" w:type="pct"/>
            <w:shd w:val="clear" w:color="auto" w:fill="065861"/>
          </w:tcPr>
          <w:p w14:paraId="67DAA885" w14:textId="5CA84D3F" w:rsidR="00E04D76" w:rsidRDefault="00D800FA">
            <w:pPr>
              <w:pStyle w:val="TableParagraph"/>
              <w:spacing w:before="0" w:line="242" w:lineRule="exact"/>
              <w:ind w:left="113" w:right="200"/>
              <w:rPr>
                <w:b/>
                <w:sz w:val="20"/>
              </w:rPr>
            </w:pPr>
            <w:r>
              <w:rPr>
                <w:b/>
                <w:color w:val="FFFFFF"/>
                <w:sz w:val="20"/>
              </w:rPr>
              <w:t>ANTICIPATED</w:t>
            </w:r>
            <w:r w:rsidR="00E04D76">
              <w:rPr>
                <w:b/>
                <w:color w:val="FFFFFF"/>
                <w:spacing w:val="-10"/>
                <w:sz w:val="20"/>
              </w:rPr>
              <w:t xml:space="preserve"> </w:t>
            </w:r>
            <w:r w:rsidR="00E04D76">
              <w:rPr>
                <w:b/>
                <w:color w:val="FFFFFF"/>
                <w:sz w:val="20"/>
              </w:rPr>
              <w:t>FUNDS</w:t>
            </w:r>
            <w:r w:rsidR="00E04D76">
              <w:rPr>
                <w:b/>
                <w:color w:val="FFFFFF"/>
                <w:spacing w:val="-11"/>
                <w:sz w:val="20"/>
              </w:rPr>
              <w:t xml:space="preserve"> </w:t>
            </w:r>
            <w:r w:rsidR="00E04D76">
              <w:rPr>
                <w:b/>
                <w:color w:val="FFFFFF"/>
                <w:sz w:val="20"/>
              </w:rPr>
              <w:t>FOR</w:t>
            </w:r>
            <w:r w:rsidR="00E04D76">
              <w:rPr>
                <w:b/>
                <w:color w:val="FFFFFF"/>
                <w:spacing w:val="-10"/>
                <w:sz w:val="20"/>
              </w:rPr>
              <w:t xml:space="preserve"> </w:t>
            </w:r>
            <w:r w:rsidR="00C16259">
              <w:rPr>
                <w:b/>
                <w:color w:val="FFFFFF"/>
                <w:sz w:val="20"/>
              </w:rPr>
              <w:t>PROJECT INITIALIZATION</w:t>
            </w:r>
            <w:r w:rsidR="00E04D76">
              <w:rPr>
                <w:b/>
                <w:color w:val="FFFFFF"/>
                <w:sz w:val="20"/>
              </w:rPr>
              <w:t xml:space="preserve"> PER SPONSOR PER AREA OF INTEREST</w:t>
            </w:r>
          </w:p>
        </w:tc>
      </w:tr>
      <w:tr w:rsidR="00E04D76" w14:paraId="562DF00C" w14:textId="77777777" w:rsidTr="00C20664">
        <w:trPr>
          <w:trHeight w:val="263"/>
        </w:trPr>
        <w:tc>
          <w:tcPr>
            <w:tcW w:w="2499" w:type="pct"/>
          </w:tcPr>
          <w:p w14:paraId="257833A9" w14:textId="77777777" w:rsidR="00E04D76" w:rsidRPr="007A269B" w:rsidRDefault="00E04D76">
            <w:pPr>
              <w:pStyle w:val="TableParagraph"/>
              <w:spacing w:before="0" w:line="243" w:lineRule="exact"/>
              <w:rPr>
                <w:sz w:val="20"/>
              </w:rPr>
            </w:pPr>
            <w:r w:rsidRPr="00C20664">
              <w:rPr>
                <w:sz w:val="20"/>
              </w:rPr>
              <w:t>Reach</w:t>
            </w:r>
            <w:r w:rsidRPr="00C20664">
              <w:rPr>
                <w:spacing w:val="-5"/>
                <w:sz w:val="20"/>
              </w:rPr>
              <w:t xml:space="preserve"> </w:t>
            </w:r>
            <w:r w:rsidRPr="00C20664">
              <w:rPr>
                <w:sz w:val="20"/>
              </w:rPr>
              <w:t>Scale</w:t>
            </w:r>
            <w:r w:rsidRPr="00C20664">
              <w:rPr>
                <w:spacing w:val="-5"/>
                <w:sz w:val="20"/>
              </w:rPr>
              <w:t xml:space="preserve"> </w:t>
            </w:r>
            <w:r w:rsidRPr="00C20664">
              <w:rPr>
                <w:sz w:val="20"/>
              </w:rPr>
              <w:t>(Over</w:t>
            </w:r>
            <w:r w:rsidRPr="00C20664">
              <w:rPr>
                <w:spacing w:val="-5"/>
                <w:sz w:val="20"/>
              </w:rPr>
              <w:t xml:space="preserve"> </w:t>
            </w:r>
            <w:r w:rsidRPr="00C20664">
              <w:rPr>
                <w:sz w:val="20"/>
              </w:rPr>
              <w:t>1</w:t>
            </w:r>
            <w:r w:rsidRPr="00C20664">
              <w:rPr>
                <w:spacing w:val="-5"/>
                <w:sz w:val="20"/>
              </w:rPr>
              <w:t xml:space="preserve"> </w:t>
            </w:r>
            <w:r w:rsidRPr="00C20664">
              <w:rPr>
                <w:sz w:val="20"/>
              </w:rPr>
              <w:t>Contiguous</w:t>
            </w:r>
            <w:r w:rsidRPr="00C20664">
              <w:rPr>
                <w:spacing w:val="-3"/>
                <w:sz w:val="20"/>
              </w:rPr>
              <w:t xml:space="preserve"> </w:t>
            </w:r>
            <w:r w:rsidRPr="00C20664">
              <w:rPr>
                <w:sz w:val="20"/>
              </w:rPr>
              <w:t>River</w:t>
            </w:r>
            <w:r w:rsidRPr="00C20664">
              <w:rPr>
                <w:spacing w:val="-4"/>
                <w:sz w:val="20"/>
              </w:rPr>
              <w:t xml:space="preserve"> </w:t>
            </w:r>
            <w:r w:rsidRPr="00C20664">
              <w:rPr>
                <w:spacing w:val="-2"/>
                <w:sz w:val="20"/>
              </w:rPr>
              <w:t>Mile)</w:t>
            </w:r>
          </w:p>
        </w:tc>
        <w:tc>
          <w:tcPr>
            <w:tcW w:w="2501" w:type="pct"/>
          </w:tcPr>
          <w:p w14:paraId="0F62A3AD" w14:textId="3AEC1151" w:rsidR="00E04D76" w:rsidRPr="007A269B" w:rsidRDefault="00E04D76">
            <w:pPr>
              <w:pStyle w:val="TableParagraph"/>
              <w:spacing w:before="0" w:line="243" w:lineRule="exact"/>
              <w:ind w:left="108"/>
              <w:rPr>
                <w:sz w:val="20"/>
              </w:rPr>
            </w:pPr>
            <w:r w:rsidRPr="00C20664">
              <w:rPr>
                <w:spacing w:val="-2"/>
                <w:sz w:val="20"/>
              </w:rPr>
              <w:t>$</w:t>
            </w:r>
            <w:r w:rsidR="00CE2774" w:rsidRPr="00C20664">
              <w:rPr>
                <w:spacing w:val="-2"/>
                <w:sz w:val="20"/>
              </w:rPr>
              <w:t>8</w:t>
            </w:r>
            <w:r w:rsidRPr="00C20664">
              <w:rPr>
                <w:spacing w:val="-2"/>
                <w:sz w:val="20"/>
              </w:rPr>
              <w:t>0,000</w:t>
            </w:r>
          </w:p>
        </w:tc>
      </w:tr>
      <w:tr w:rsidR="00E04D76" w14:paraId="7313AB22" w14:textId="77777777" w:rsidTr="00C20664">
        <w:trPr>
          <w:trHeight w:val="270"/>
        </w:trPr>
        <w:tc>
          <w:tcPr>
            <w:tcW w:w="2499" w:type="pct"/>
          </w:tcPr>
          <w:p w14:paraId="3B5EF226" w14:textId="77777777" w:rsidR="00E04D76" w:rsidRPr="007A269B" w:rsidRDefault="00E04D76">
            <w:pPr>
              <w:pStyle w:val="TableParagraph"/>
              <w:spacing w:before="3"/>
              <w:rPr>
                <w:sz w:val="20"/>
              </w:rPr>
            </w:pPr>
            <w:r w:rsidRPr="00C20664">
              <w:rPr>
                <w:sz w:val="20"/>
              </w:rPr>
              <w:t>Fish</w:t>
            </w:r>
            <w:r w:rsidRPr="00C20664">
              <w:rPr>
                <w:spacing w:val="-7"/>
                <w:sz w:val="20"/>
              </w:rPr>
              <w:t xml:space="preserve"> </w:t>
            </w:r>
            <w:r w:rsidRPr="00C20664">
              <w:rPr>
                <w:sz w:val="20"/>
              </w:rPr>
              <w:t>Passage</w:t>
            </w:r>
            <w:r w:rsidRPr="00C20664">
              <w:rPr>
                <w:spacing w:val="-7"/>
                <w:sz w:val="20"/>
              </w:rPr>
              <w:t xml:space="preserve"> </w:t>
            </w:r>
            <w:r w:rsidRPr="00C20664">
              <w:rPr>
                <w:sz w:val="20"/>
              </w:rPr>
              <w:t>Barriers</w:t>
            </w:r>
            <w:r w:rsidRPr="00C20664">
              <w:rPr>
                <w:spacing w:val="-4"/>
                <w:sz w:val="20"/>
              </w:rPr>
              <w:t xml:space="preserve"> </w:t>
            </w:r>
            <w:r w:rsidRPr="00C20664">
              <w:rPr>
                <w:sz w:val="20"/>
              </w:rPr>
              <w:t>and</w:t>
            </w:r>
            <w:r w:rsidRPr="00C20664">
              <w:rPr>
                <w:spacing w:val="-5"/>
                <w:sz w:val="20"/>
              </w:rPr>
              <w:t xml:space="preserve"> </w:t>
            </w:r>
            <w:r w:rsidRPr="00C20664">
              <w:rPr>
                <w:sz w:val="20"/>
              </w:rPr>
              <w:t>Other</w:t>
            </w:r>
            <w:r w:rsidRPr="00C20664">
              <w:rPr>
                <w:spacing w:val="-6"/>
                <w:sz w:val="20"/>
              </w:rPr>
              <w:t xml:space="preserve"> </w:t>
            </w:r>
            <w:r w:rsidRPr="00C20664">
              <w:rPr>
                <w:sz w:val="20"/>
              </w:rPr>
              <w:t>Small-Scale</w:t>
            </w:r>
            <w:r w:rsidRPr="00C20664">
              <w:rPr>
                <w:spacing w:val="-8"/>
                <w:sz w:val="20"/>
              </w:rPr>
              <w:t xml:space="preserve"> </w:t>
            </w:r>
            <w:r w:rsidRPr="00C20664">
              <w:rPr>
                <w:spacing w:val="-2"/>
                <w:sz w:val="20"/>
              </w:rPr>
              <w:t>Projects</w:t>
            </w:r>
          </w:p>
        </w:tc>
        <w:tc>
          <w:tcPr>
            <w:tcW w:w="2501" w:type="pct"/>
          </w:tcPr>
          <w:p w14:paraId="447C63F6" w14:textId="6B40CDAC" w:rsidR="00E04D76" w:rsidRPr="007A269B" w:rsidRDefault="00E04D76">
            <w:pPr>
              <w:pStyle w:val="TableParagraph"/>
              <w:spacing w:before="3"/>
              <w:ind w:left="108"/>
              <w:rPr>
                <w:sz w:val="20"/>
              </w:rPr>
            </w:pPr>
            <w:r w:rsidRPr="00C20664">
              <w:rPr>
                <w:spacing w:val="-2"/>
                <w:sz w:val="20"/>
              </w:rPr>
              <w:t>$</w:t>
            </w:r>
            <w:r w:rsidR="00CE2774" w:rsidRPr="00C20664">
              <w:rPr>
                <w:spacing w:val="-2"/>
                <w:sz w:val="20"/>
              </w:rPr>
              <w:t>30</w:t>
            </w:r>
            <w:r w:rsidRPr="00C20664">
              <w:rPr>
                <w:spacing w:val="-2"/>
                <w:sz w:val="20"/>
              </w:rPr>
              <w:t>,000</w:t>
            </w:r>
          </w:p>
        </w:tc>
      </w:tr>
      <w:tr w:rsidR="00E04D76" w14:paraId="00221232" w14:textId="77777777" w:rsidTr="00C20664">
        <w:trPr>
          <w:trHeight w:val="268"/>
        </w:trPr>
        <w:tc>
          <w:tcPr>
            <w:tcW w:w="2499" w:type="pct"/>
          </w:tcPr>
          <w:p w14:paraId="54991E3A" w14:textId="77777777" w:rsidR="00E04D76" w:rsidRPr="007A269B" w:rsidRDefault="00E04D76">
            <w:pPr>
              <w:pStyle w:val="TableParagraph"/>
              <w:rPr>
                <w:sz w:val="20"/>
              </w:rPr>
            </w:pPr>
            <w:r w:rsidRPr="00C20664">
              <w:rPr>
                <w:spacing w:val="-2"/>
                <w:sz w:val="20"/>
              </w:rPr>
              <w:t>Protection</w:t>
            </w:r>
          </w:p>
        </w:tc>
        <w:tc>
          <w:tcPr>
            <w:tcW w:w="2501" w:type="pct"/>
          </w:tcPr>
          <w:p w14:paraId="1129800C" w14:textId="4D2F437C" w:rsidR="00E04D76" w:rsidRPr="007A269B" w:rsidRDefault="00E04D76">
            <w:pPr>
              <w:pStyle w:val="TableParagraph"/>
              <w:ind w:left="108"/>
              <w:rPr>
                <w:sz w:val="20"/>
              </w:rPr>
            </w:pPr>
            <w:r w:rsidRPr="00C20664">
              <w:rPr>
                <w:spacing w:val="-2"/>
                <w:sz w:val="20"/>
              </w:rPr>
              <w:t>$</w:t>
            </w:r>
            <w:r w:rsidR="00CE2774" w:rsidRPr="00C20664">
              <w:rPr>
                <w:spacing w:val="-2"/>
                <w:sz w:val="20"/>
              </w:rPr>
              <w:t>25</w:t>
            </w:r>
            <w:r w:rsidRPr="00C20664">
              <w:rPr>
                <w:spacing w:val="-2"/>
                <w:sz w:val="20"/>
              </w:rPr>
              <w:t>,000</w:t>
            </w:r>
          </w:p>
        </w:tc>
      </w:tr>
    </w:tbl>
    <w:p w14:paraId="3A206D61" w14:textId="77777777" w:rsidR="00E04D76" w:rsidRPr="00C20664" w:rsidRDefault="00E04D76" w:rsidP="00C20664">
      <w:pPr>
        <w:pStyle w:val="BodyText"/>
        <w:rPr>
          <w:rFonts w:ascii="Calibri" w:hAnsi="Calibri" w:cs="Calibri"/>
          <w:sz w:val="22"/>
          <w:szCs w:val="22"/>
        </w:rPr>
      </w:pPr>
    </w:p>
    <w:p w14:paraId="77D36D7B" w14:textId="2A829833" w:rsidR="00611A87" w:rsidRPr="00DB1580" w:rsidRDefault="47EB709D" w:rsidP="00611A87">
      <w:pPr>
        <w:pStyle w:val="Heading2"/>
        <w:rPr>
          <w:rFonts w:ascii="Cambria" w:hAnsi="Cambria"/>
          <w:color w:val="065861"/>
        </w:rPr>
      </w:pPr>
      <w:r w:rsidRPr="00DB1580">
        <w:rPr>
          <w:rFonts w:ascii="Cambria" w:hAnsi="Cambria"/>
          <w:color w:val="065861"/>
        </w:rPr>
        <w:t>Eligible Project Initialization Grant Activities</w:t>
      </w:r>
    </w:p>
    <w:p w14:paraId="2F397004" w14:textId="2FD1134B" w:rsidR="003C0DF6" w:rsidRDefault="46A98E90" w:rsidP="003C0DF6">
      <w:pPr>
        <w:pStyle w:val="ListBullet"/>
        <w:tabs>
          <w:tab w:val="clear" w:pos="360"/>
        </w:tabs>
      </w:pPr>
      <w:r>
        <w:t>Development of and data collection for site assessment report for a particular project, including:</w:t>
      </w:r>
    </w:p>
    <w:p w14:paraId="01D8B101" w14:textId="0EF3C15D" w:rsidR="003C0DF6" w:rsidRDefault="46A98E90" w:rsidP="003C0DF6">
      <w:pPr>
        <w:pStyle w:val="ListBullet"/>
        <w:tabs>
          <w:tab w:val="clear" w:pos="360"/>
        </w:tabs>
        <w:ind w:left="720"/>
      </w:pPr>
      <w:r>
        <w:t>Summary of pre-existing habitat assessments within the project location, if available</w:t>
      </w:r>
    </w:p>
    <w:p w14:paraId="12823C7E" w14:textId="74EC037F" w:rsidR="001D7B6E" w:rsidRDefault="46A98E90" w:rsidP="003C0DF6">
      <w:pPr>
        <w:pStyle w:val="ListBullet"/>
        <w:tabs>
          <w:tab w:val="clear" w:pos="360"/>
        </w:tabs>
        <w:ind w:left="720"/>
      </w:pPr>
      <w:r>
        <w:t>Mapped habitat survey of site</w:t>
      </w:r>
    </w:p>
    <w:p w14:paraId="3D21CFF6" w14:textId="45628558" w:rsidR="0066526D" w:rsidRDefault="46A98E90" w:rsidP="003C0DF6">
      <w:pPr>
        <w:pStyle w:val="ListBullet"/>
        <w:tabs>
          <w:tab w:val="clear" w:pos="360"/>
        </w:tabs>
        <w:ind w:left="720"/>
      </w:pPr>
      <w:r>
        <w:t>Mapped biological information for ASRP indicator species life-stage</w:t>
      </w:r>
      <w:r w:rsidR="008C5595">
        <w:t>-</w:t>
      </w:r>
      <w:r>
        <w:t xml:space="preserve">specific use of the site and surrounding areas as defined by the ASRP </w:t>
      </w:r>
      <w:r w:rsidR="009800F8">
        <w:t xml:space="preserve">Phase 1 </w:t>
      </w:r>
      <w:r w:rsidR="008C5595">
        <w:t>d</w:t>
      </w:r>
      <w:r w:rsidR="009800F8">
        <w:t>ocument</w:t>
      </w:r>
    </w:p>
    <w:p w14:paraId="0DCD83E5" w14:textId="57F06D8F" w:rsidR="00D9064A" w:rsidRDefault="46A98E90" w:rsidP="00D9064A">
      <w:pPr>
        <w:pStyle w:val="ListBullet"/>
        <w:tabs>
          <w:tab w:val="clear" w:pos="360"/>
        </w:tabs>
      </w:pPr>
      <w:r>
        <w:t xml:space="preserve">Development of and data collection for a concept level design report as outlined in </w:t>
      </w:r>
      <w:r w:rsidR="00784A4C">
        <w:t xml:space="preserve">Washington State Recreation and Conservation Office (RCO) </w:t>
      </w:r>
      <w:r w:rsidR="00C20664">
        <w:fldChar w:fldCharType="begin"/>
      </w:r>
      <w:r w:rsidR="00784A4C">
        <w:instrText>HYPERLINK "https://rco.wa.gov/wp-content/uploads/2019/05/SAL-Manual18.pdf"</w:instrText>
      </w:r>
      <w:r w:rsidR="00C20664">
        <w:fldChar w:fldCharType="separate"/>
      </w:r>
      <w:r w:rsidR="00784A4C">
        <w:rPr>
          <w:rStyle w:val="Hyperlink"/>
        </w:rPr>
        <w:t>Manual 18</w:t>
      </w:r>
      <w:r w:rsidR="00C20664">
        <w:rPr>
          <w:rStyle w:val="Hyperlink"/>
        </w:rPr>
        <w:fldChar w:fldCharType="end"/>
      </w:r>
      <w:r>
        <w:t xml:space="preserve"> </w:t>
      </w:r>
    </w:p>
    <w:p w14:paraId="22DD7C42" w14:textId="77777777" w:rsidR="00D800FA" w:rsidRDefault="46A98E90" w:rsidP="00D800FA">
      <w:pPr>
        <w:pStyle w:val="ListBullet"/>
      </w:pPr>
      <w:r>
        <w:t>Modeling activities related to concept-level site assessments and prioritization</w:t>
      </w:r>
    </w:p>
    <w:p w14:paraId="2A01D1E1" w14:textId="34EE6099" w:rsidR="00D800FA" w:rsidRDefault="46A98E90" w:rsidP="00D800FA">
      <w:pPr>
        <w:pStyle w:val="ListBullet"/>
        <w:tabs>
          <w:tab w:val="clear" w:pos="360"/>
          <w:tab w:val="num" w:pos="720"/>
        </w:tabs>
        <w:ind w:left="720"/>
      </w:pPr>
      <w:r>
        <w:t xml:space="preserve">For example, hydrology, wood loading, </w:t>
      </w:r>
      <w:r w:rsidR="008C5595">
        <w:t xml:space="preserve">and </w:t>
      </w:r>
      <w:r>
        <w:t>site suitability</w:t>
      </w:r>
    </w:p>
    <w:p w14:paraId="04E6321D" w14:textId="77777777" w:rsidR="003E45E4" w:rsidRDefault="003E45E4" w:rsidP="003E45E4">
      <w:pPr>
        <w:pStyle w:val="ListBullet"/>
      </w:pPr>
      <w:r>
        <w:t>Costs of preparing ASRP grant materials and applications for additional work in the focal area</w:t>
      </w:r>
    </w:p>
    <w:p w14:paraId="0E1D2920" w14:textId="3DA7DEEA" w:rsidR="003E45E4" w:rsidRDefault="003E45E4" w:rsidP="003E45E4">
      <w:pPr>
        <w:pStyle w:val="ListBullet"/>
      </w:pPr>
      <w:r>
        <w:lastRenderedPageBreak/>
        <w:t>Indirect/</w:t>
      </w:r>
      <w:r w:rsidR="008C5595">
        <w:t>o</w:t>
      </w:r>
      <w:r>
        <w:t>verhead costs</w:t>
      </w:r>
    </w:p>
    <w:p w14:paraId="0FBF7902" w14:textId="0D1BA3A4" w:rsidR="003E45E4" w:rsidRDefault="003E45E4" w:rsidP="003E45E4">
      <w:pPr>
        <w:pStyle w:val="ListBullet"/>
      </w:pPr>
      <w:r>
        <w:t xml:space="preserve">Coordination with </w:t>
      </w:r>
      <w:r w:rsidR="00D36C8B">
        <w:t>landowners and other interested or affected parties</w:t>
      </w:r>
    </w:p>
    <w:p w14:paraId="63067FEC" w14:textId="3402F2AD" w:rsidR="003E45E4" w:rsidRDefault="009561A6" w:rsidP="003E45E4">
      <w:pPr>
        <w:pStyle w:val="ListBullet"/>
      </w:pPr>
      <w:r>
        <w:t>Pre-acquisition tasks such as:</w:t>
      </w:r>
    </w:p>
    <w:p w14:paraId="7E6458A3" w14:textId="67B36C78" w:rsidR="009561A6" w:rsidRDefault="009561A6" w:rsidP="009561A6">
      <w:pPr>
        <w:pStyle w:val="ListBullet"/>
        <w:tabs>
          <w:tab w:val="clear" w:pos="360"/>
          <w:tab w:val="num" w:pos="720"/>
        </w:tabs>
        <w:ind w:left="720"/>
      </w:pPr>
      <w:r>
        <w:t>Site visits</w:t>
      </w:r>
    </w:p>
    <w:p w14:paraId="64B9E64A" w14:textId="41AFF4D4" w:rsidR="009561A6" w:rsidRDefault="009561A6" w:rsidP="009561A6">
      <w:pPr>
        <w:pStyle w:val="ListBullet"/>
        <w:tabs>
          <w:tab w:val="clear" w:pos="360"/>
          <w:tab w:val="num" w:pos="720"/>
        </w:tabs>
        <w:ind w:left="720"/>
      </w:pPr>
      <w:r>
        <w:t xml:space="preserve">Title </w:t>
      </w:r>
      <w:r w:rsidR="00C5556F">
        <w:t>r</w:t>
      </w:r>
      <w:r>
        <w:t>eview</w:t>
      </w:r>
    </w:p>
    <w:p w14:paraId="397E15CD" w14:textId="5CD17FD3" w:rsidR="009561A6" w:rsidRDefault="00F37D8C" w:rsidP="009561A6">
      <w:pPr>
        <w:pStyle w:val="ListBullet"/>
        <w:tabs>
          <w:tab w:val="clear" w:pos="360"/>
          <w:tab w:val="num" w:pos="720"/>
        </w:tabs>
        <w:ind w:left="720"/>
      </w:pPr>
      <w:r>
        <w:t>Appraisals and appraisal reviews</w:t>
      </w:r>
    </w:p>
    <w:p w14:paraId="35E1EE11" w14:textId="77777777" w:rsidR="00855462" w:rsidRDefault="000368B3" w:rsidP="00855462">
      <w:pPr>
        <w:pStyle w:val="ListBullet"/>
        <w:tabs>
          <w:tab w:val="clear" w:pos="360"/>
          <w:tab w:val="num" w:pos="720"/>
        </w:tabs>
        <w:ind w:left="720"/>
      </w:pPr>
      <w:r>
        <w:t>Boundary surveys</w:t>
      </w:r>
    </w:p>
    <w:p w14:paraId="66F84C08" w14:textId="6207DD76" w:rsidR="00CD7125" w:rsidRDefault="000368B3" w:rsidP="00CD7125">
      <w:pPr>
        <w:pStyle w:val="ListBullet"/>
        <w:tabs>
          <w:tab w:val="clear" w:pos="360"/>
          <w:tab w:val="num" w:pos="720"/>
        </w:tabs>
        <w:ind w:left="720"/>
      </w:pPr>
      <w:r>
        <w:t>Environmental site assessments for hazardous waste</w:t>
      </w:r>
    </w:p>
    <w:p w14:paraId="1BA5A326" w14:textId="4E387549" w:rsidR="00E04D76" w:rsidRPr="00DB1580" w:rsidRDefault="00E04D76" w:rsidP="00CD7125">
      <w:pPr>
        <w:pStyle w:val="Heading2"/>
        <w:rPr>
          <w:rFonts w:ascii="Cambria" w:hAnsi="Cambria"/>
          <w:color w:val="065861"/>
        </w:rPr>
      </w:pPr>
      <w:r w:rsidRPr="00DB1580">
        <w:rPr>
          <w:rFonts w:ascii="Cambria" w:hAnsi="Cambria"/>
          <w:color w:val="065861"/>
        </w:rPr>
        <w:t xml:space="preserve">Ineligible </w:t>
      </w:r>
      <w:r w:rsidR="00C16259" w:rsidRPr="00DB1580">
        <w:rPr>
          <w:rFonts w:ascii="Cambria" w:hAnsi="Cambria"/>
          <w:color w:val="065861"/>
        </w:rPr>
        <w:t>Project Initialization</w:t>
      </w:r>
      <w:r w:rsidRPr="00DB1580">
        <w:rPr>
          <w:rFonts w:ascii="Cambria" w:hAnsi="Cambria"/>
          <w:color w:val="065861"/>
        </w:rPr>
        <w:t xml:space="preserve"> Activities</w:t>
      </w:r>
    </w:p>
    <w:p w14:paraId="3C7098FC" w14:textId="6C1F9A49" w:rsidR="00E04D76" w:rsidRPr="00C20664" w:rsidRDefault="00E04D76" w:rsidP="00C20664">
      <w:pPr>
        <w:pStyle w:val="BodyTextPre-list"/>
        <w:rPr>
          <w:rFonts w:ascii="Calibri" w:hAnsi="Calibri" w:cs="Calibri"/>
          <w:sz w:val="22"/>
          <w:szCs w:val="22"/>
        </w:rPr>
      </w:pPr>
      <w:r w:rsidRPr="00C20664">
        <w:rPr>
          <w:rFonts w:ascii="Calibri" w:hAnsi="Calibri" w:cs="Calibri"/>
          <w:sz w:val="22"/>
          <w:szCs w:val="22"/>
        </w:rPr>
        <w:t xml:space="preserve">The following activities are considered ineligible for funding through the </w:t>
      </w:r>
      <w:r w:rsidR="00C16259" w:rsidRPr="00C20664">
        <w:rPr>
          <w:rFonts w:ascii="Calibri" w:hAnsi="Calibri" w:cs="Calibri"/>
          <w:sz w:val="22"/>
          <w:szCs w:val="22"/>
        </w:rPr>
        <w:t>Project Initialization</w:t>
      </w:r>
      <w:r w:rsidRPr="00C20664">
        <w:rPr>
          <w:rFonts w:ascii="Calibri" w:hAnsi="Calibri" w:cs="Calibri"/>
          <w:sz w:val="22"/>
          <w:szCs w:val="22"/>
        </w:rPr>
        <w:t xml:space="preserve"> </w:t>
      </w:r>
      <w:r w:rsidR="008C5595">
        <w:rPr>
          <w:rFonts w:ascii="Calibri" w:hAnsi="Calibri" w:cs="Calibri"/>
          <w:sz w:val="22"/>
          <w:szCs w:val="22"/>
        </w:rPr>
        <w:t>G</w:t>
      </w:r>
      <w:r w:rsidR="00BA49BE" w:rsidRPr="00C20664">
        <w:rPr>
          <w:rFonts w:ascii="Calibri" w:hAnsi="Calibri" w:cs="Calibri"/>
          <w:sz w:val="22"/>
          <w:szCs w:val="22"/>
        </w:rPr>
        <w:t>rants</w:t>
      </w:r>
      <w:r w:rsidRPr="00C20664">
        <w:rPr>
          <w:rFonts w:ascii="Calibri" w:hAnsi="Calibri" w:cs="Calibri"/>
          <w:sz w:val="22"/>
          <w:szCs w:val="22"/>
        </w:rPr>
        <w:t>:</w:t>
      </w:r>
    </w:p>
    <w:p w14:paraId="46A9CD85" w14:textId="7BD8253D" w:rsidR="00E04D76" w:rsidRDefault="46A98E90" w:rsidP="00BB47D4">
      <w:pPr>
        <w:pStyle w:val="ListBullet"/>
      </w:pPr>
      <w:r>
        <w:t>Educational events that would not result in a specific project as an outcome</w:t>
      </w:r>
    </w:p>
    <w:p w14:paraId="107FD93F" w14:textId="1E1C9A7B" w:rsidR="00E04D76" w:rsidRDefault="000B298A" w:rsidP="00E04D76">
      <w:pPr>
        <w:pStyle w:val="ListBullet"/>
      </w:pPr>
      <w:r>
        <w:t xml:space="preserve">Preliminary or </w:t>
      </w:r>
      <w:r w:rsidR="008C5595">
        <w:t>f</w:t>
      </w:r>
      <w:r>
        <w:t xml:space="preserve">inal </w:t>
      </w:r>
      <w:r w:rsidR="008C5595">
        <w:t>d</w:t>
      </w:r>
      <w:r w:rsidR="46A98E90">
        <w:t>esign engineering</w:t>
      </w:r>
    </w:p>
    <w:p w14:paraId="5BCF54BB" w14:textId="2EC20D25" w:rsidR="004646B7" w:rsidRDefault="004646B7" w:rsidP="004646B7">
      <w:pPr>
        <w:pStyle w:val="ListBullet"/>
      </w:pPr>
      <w:r>
        <w:t>Equipment (items costing $5,000 and above), unless sponsor has written approval by WDFW</w:t>
      </w:r>
    </w:p>
    <w:p w14:paraId="0AE895E6" w14:textId="12B100DB" w:rsidR="00746081" w:rsidRDefault="003E45E4" w:rsidP="00746081">
      <w:pPr>
        <w:pStyle w:val="ListBullet"/>
      </w:pPr>
      <w:r>
        <w:t>Permitting</w:t>
      </w:r>
    </w:p>
    <w:p w14:paraId="5F59A20E" w14:textId="10FCB21B" w:rsidR="00914617" w:rsidRPr="00DB1580" w:rsidRDefault="47EB709D" w:rsidP="00914617">
      <w:pPr>
        <w:pStyle w:val="Heading2"/>
        <w:rPr>
          <w:rFonts w:ascii="Cambria" w:hAnsi="Cambria"/>
          <w:color w:val="065861"/>
        </w:rPr>
      </w:pPr>
      <w:r w:rsidRPr="00DB1580">
        <w:rPr>
          <w:rFonts w:ascii="Cambria" w:hAnsi="Cambria"/>
          <w:color w:val="065861"/>
        </w:rPr>
        <w:t>Project Initialization Grant Deliverables</w:t>
      </w:r>
    </w:p>
    <w:p w14:paraId="1555F299" w14:textId="0B375636" w:rsidR="00D800FA" w:rsidRPr="00C20664" w:rsidRDefault="47EB709D" w:rsidP="00C20664">
      <w:pPr>
        <w:pStyle w:val="BodyTextPre-list"/>
        <w:rPr>
          <w:rFonts w:ascii="Calibri" w:hAnsi="Calibri" w:cs="Calibri"/>
          <w:sz w:val="22"/>
          <w:szCs w:val="22"/>
        </w:rPr>
      </w:pPr>
      <w:r w:rsidRPr="00C20664">
        <w:rPr>
          <w:rFonts w:ascii="Calibri" w:hAnsi="Calibri" w:cs="Calibri"/>
          <w:sz w:val="22"/>
          <w:szCs w:val="22"/>
        </w:rPr>
        <w:t xml:space="preserve">The goal of the Project Initialization Grant phase is to develop projects that are supported by landowners and can be advanced to the project design stage. Expected deliverables from this </w:t>
      </w:r>
      <w:r w:rsidR="00E26DA5" w:rsidRPr="00C20664">
        <w:rPr>
          <w:rFonts w:ascii="Calibri" w:hAnsi="Calibri" w:cs="Calibri"/>
          <w:sz w:val="22"/>
          <w:szCs w:val="22"/>
        </w:rPr>
        <w:t>grant include</w:t>
      </w:r>
      <w:r w:rsidR="00D800FA" w:rsidRPr="00C20664">
        <w:rPr>
          <w:rFonts w:ascii="Calibri" w:hAnsi="Calibri" w:cs="Calibri"/>
          <w:sz w:val="22"/>
          <w:szCs w:val="22"/>
        </w:rPr>
        <w:t>:</w:t>
      </w:r>
    </w:p>
    <w:p w14:paraId="53A245B3" w14:textId="77777777" w:rsidR="00D800FA" w:rsidRDefault="46A98E90" w:rsidP="00D800FA">
      <w:pPr>
        <w:pStyle w:val="ListBullet"/>
      </w:pPr>
      <w:r>
        <w:t>At least one completed Site Assessment and Project Proposal (SAPP) form</w:t>
      </w:r>
    </w:p>
    <w:p w14:paraId="4DB70AD2" w14:textId="13890409" w:rsidR="009800F8" w:rsidRDefault="009800F8" w:rsidP="00D800FA">
      <w:pPr>
        <w:pStyle w:val="ListBullet"/>
      </w:pPr>
      <w:r>
        <w:t>At least one signed landowner acknowledgement form</w:t>
      </w:r>
    </w:p>
    <w:p w14:paraId="31E5E9EF" w14:textId="42B25015" w:rsidR="00B51C6F" w:rsidRPr="0038341B" w:rsidRDefault="46A98E90" w:rsidP="00D800FA">
      <w:pPr>
        <w:pStyle w:val="ListBullet"/>
      </w:pPr>
      <w:r>
        <w:t>A concept basis of design report</w:t>
      </w:r>
    </w:p>
    <w:p w14:paraId="5D6873F7" w14:textId="3A16EA66" w:rsidR="00B51C6F" w:rsidRPr="0038341B" w:rsidRDefault="46A98E90" w:rsidP="00D800FA">
      <w:pPr>
        <w:pStyle w:val="ListBullet"/>
      </w:pPr>
      <w:r>
        <w:t xml:space="preserve">Data delivery </w:t>
      </w:r>
    </w:p>
    <w:p w14:paraId="163E55B5" w14:textId="53C7581C" w:rsidR="00B51C6F" w:rsidRPr="00C20664" w:rsidRDefault="47EB709D" w:rsidP="00C20664">
      <w:pPr>
        <w:pStyle w:val="BodyText"/>
        <w:rPr>
          <w:rFonts w:asciiTheme="minorHAnsi" w:hAnsiTheme="minorHAnsi" w:cstheme="minorHAnsi"/>
          <w:sz w:val="22"/>
          <w:szCs w:val="22"/>
        </w:rPr>
      </w:pPr>
      <w:r w:rsidRPr="00C20664">
        <w:rPr>
          <w:rFonts w:asciiTheme="minorHAnsi" w:hAnsiTheme="minorHAnsi" w:cstheme="minorHAnsi"/>
          <w:sz w:val="22"/>
          <w:szCs w:val="22"/>
        </w:rPr>
        <w:t xml:space="preserve">If </w:t>
      </w:r>
      <w:r w:rsidR="009800F8" w:rsidRPr="00C20664">
        <w:rPr>
          <w:rFonts w:asciiTheme="minorHAnsi" w:hAnsiTheme="minorHAnsi" w:cstheme="minorHAnsi"/>
          <w:sz w:val="22"/>
          <w:szCs w:val="22"/>
        </w:rPr>
        <w:t xml:space="preserve">no </w:t>
      </w:r>
      <w:r w:rsidRPr="00C20664">
        <w:rPr>
          <w:rFonts w:asciiTheme="minorHAnsi" w:hAnsiTheme="minorHAnsi" w:cstheme="minorHAnsi"/>
          <w:sz w:val="22"/>
          <w:szCs w:val="22"/>
        </w:rPr>
        <w:t xml:space="preserve">SAPP is delivered: The ASRP Steering Committee recognizes that priorities identified through the ASRP </w:t>
      </w:r>
      <w:r w:rsidR="00724A8E" w:rsidRPr="00C20664">
        <w:rPr>
          <w:rFonts w:asciiTheme="minorHAnsi" w:hAnsiTheme="minorHAnsi" w:cstheme="minorHAnsi"/>
          <w:sz w:val="22"/>
          <w:szCs w:val="22"/>
        </w:rPr>
        <w:t>Prioritization and Sequencing</w:t>
      </w:r>
      <w:r w:rsidRPr="00C20664">
        <w:rPr>
          <w:rFonts w:asciiTheme="minorHAnsi" w:hAnsiTheme="minorHAnsi" w:cstheme="minorHAnsi"/>
          <w:sz w:val="22"/>
          <w:szCs w:val="22"/>
        </w:rPr>
        <w:t xml:space="preserve"> and opportunities for project implementation on the ground may not align. Sponsors will be paid for their time in project development, but if the sponsor is unable to complete at least one SAPP form over the course of the project contract, they will be expected to brief the ASRP Steering Committee on the results of their </w:t>
      </w:r>
      <w:r w:rsidR="00784A4C">
        <w:rPr>
          <w:rFonts w:asciiTheme="minorHAnsi" w:hAnsiTheme="minorHAnsi" w:cstheme="minorHAnsi"/>
          <w:sz w:val="22"/>
          <w:szCs w:val="22"/>
        </w:rPr>
        <w:t>p</w:t>
      </w:r>
      <w:r w:rsidRPr="00C20664">
        <w:rPr>
          <w:rFonts w:asciiTheme="minorHAnsi" w:hAnsiTheme="minorHAnsi" w:cstheme="minorHAnsi"/>
          <w:sz w:val="22"/>
          <w:szCs w:val="22"/>
        </w:rPr>
        <w:t xml:space="preserve">roject </w:t>
      </w:r>
      <w:r w:rsidR="00784A4C">
        <w:rPr>
          <w:rFonts w:asciiTheme="minorHAnsi" w:hAnsiTheme="minorHAnsi" w:cstheme="minorHAnsi"/>
          <w:sz w:val="22"/>
          <w:szCs w:val="22"/>
        </w:rPr>
        <w:t>i</w:t>
      </w:r>
      <w:r w:rsidRPr="00C20664">
        <w:rPr>
          <w:rFonts w:asciiTheme="minorHAnsi" w:hAnsiTheme="minorHAnsi" w:cstheme="minorHAnsi"/>
          <w:sz w:val="22"/>
          <w:szCs w:val="22"/>
        </w:rPr>
        <w:t>nitialization efforts and discuss planned next steps. Discussion with the ASRP Steering Committee could result in alternative actions or shifting efforts to focus in other priority areas. All Project Initialization Grants will have RCO-specific contract reporting deliverables in addition to ASRP program requirements.</w:t>
      </w:r>
    </w:p>
    <w:p w14:paraId="5BF7E64C" w14:textId="15712285" w:rsidR="00DB7A12" w:rsidRPr="00C20664" w:rsidRDefault="47EB709D" w:rsidP="00F77C21">
      <w:pPr>
        <w:pStyle w:val="BodyText"/>
        <w:rPr>
          <w:rFonts w:asciiTheme="minorHAnsi" w:hAnsiTheme="minorHAnsi" w:cstheme="minorHAnsi"/>
          <w:sz w:val="22"/>
          <w:szCs w:val="22"/>
        </w:rPr>
      </w:pPr>
      <w:r w:rsidRPr="00C20664">
        <w:rPr>
          <w:rFonts w:asciiTheme="minorHAnsi" w:hAnsiTheme="minorHAnsi" w:cstheme="minorHAnsi"/>
          <w:sz w:val="22"/>
          <w:szCs w:val="22"/>
        </w:rPr>
        <w:t xml:space="preserve">Project Initialization </w:t>
      </w:r>
      <w:r w:rsidR="00784A4C">
        <w:rPr>
          <w:rFonts w:asciiTheme="minorHAnsi" w:hAnsiTheme="minorHAnsi" w:cstheme="minorHAnsi"/>
          <w:sz w:val="22"/>
          <w:szCs w:val="22"/>
        </w:rPr>
        <w:t>G</w:t>
      </w:r>
      <w:r w:rsidRPr="00C20664">
        <w:rPr>
          <w:rFonts w:asciiTheme="minorHAnsi" w:hAnsiTheme="minorHAnsi" w:cstheme="minorHAnsi"/>
          <w:sz w:val="22"/>
          <w:szCs w:val="22"/>
        </w:rPr>
        <w:t xml:space="preserve">rants do not guarantee that the resulting concepts will be included </w:t>
      </w:r>
      <w:r w:rsidR="00724A8E" w:rsidRPr="00C20664">
        <w:rPr>
          <w:rFonts w:asciiTheme="minorHAnsi" w:hAnsiTheme="minorHAnsi" w:cstheme="minorHAnsi"/>
          <w:sz w:val="22"/>
          <w:szCs w:val="22"/>
        </w:rPr>
        <w:t>i</w:t>
      </w:r>
      <w:r w:rsidRPr="00C20664">
        <w:rPr>
          <w:rFonts w:asciiTheme="minorHAnsi" w:hAnsiTheme="minorHAnsi" w:cstheme="minorHAnsi"/>
          <w:sz w:val="22"/>
          <w:szCs w:val="22"/>
        </w:rPr>
        <w:t xml:space="preserve">n the ASRP Steering Committee's project portfolio for funding. Sponsors may have multiple Project Initialization </w:t>
      </w:r>
      <w:r w:rsidR="00FB1F7C">
        <w:rPr>
          <w:rFonts w:asciiTheme="minorHAnsi" w:hAnsiTheme="minorHAnsi" w:cstheme="minorHAnsi"/>
          <w:sz w:val="22"/>
          <w:szCs w:val="22"/>
        </w:rPr>
        <w:t>G</w:t>
      </w:r>
      <w:r w:rsidRPr="00C20664">
        <w:rPr>
          <w:rFonts w:asciiTheme="minorHAnsi" w:hAnsiTheme="minorHAnsi" w:cstheme="minorHAnsi"/>
          <w:sz w:val="22"/>
          <w:szCs w:val="22"/>
        </w:rPr>
        <w:t>rants active</w:t>
      </w:r>
      <w:r w:rsidR="00D800FA" w:rsidRPr="00C20664">
        <w:rPr>
          <w:rFonts w:asciiTheme="minorHAnsi" w:hAnsiTheme="minorHAnsi" w:cstheme="minorHAnsi"/>
          <w:sz w:val="22"/>
          <w:szCs w:val="22"/>
        </w:rPr>
        <w:t>.</w:t>
      </w:r>
    </w:p>
    <w:p w14:paraId="1214547A" w14:textId="73D85A63" w:rsidR="00B62005" w:rsidRPr="00DB1580" w:rsidRDefault="009E03E8" w:rsidP="00AC66E7">
      <w:pPr>
        <w:pStyle w:val="Heading1"/>
        <w:rPr>
          <w:rFonts w:ascii="Cambria" w:hAnsi="Cambria"/>
          <w:b/>
          <w:bCs/>
          <w:color w:val="065861"/>
        </w:rPr>
      </w:pPr>
      <w:r w:rsidRPr="00DB1580">
        <w:rPr>
          <w:rFonts w:ascii="Cambria" w:hAnsi="Cambria"/>
          <w:b/>
          <w:bCs/>
          <w:color w:val="065861"/>
        </w:rPr>
        <w:t>Project Identification, Priorit</w:t>
      </w:r>
      <w:r w:rsidR="00A634FA" w:rsidRPr="00DB1580">
        <w:rPr>
          <w:rFonts w:ascii="Cambria" w:hAnsi="Cambria"/>
          <w:b/>
          <w:bCs/>
          <w:color w:val="065861"/>
        </w:rPr>
        <w:t>ization, and Development Pipeline</w:t>
      </w:r>
    </w:p>
    <w:p w14:paraId="6DFEEE69" w14:textId="17317D9E" w:rsidR="00B62005" w:rsidRPr="00C20664" w:rsidRDefault="47EB709D" w:rsidP="00C20664">
      <w:pPr>
        <w:pStyle w:val="BodyText"/>
        <w:rPr>
          <w:rFonts w:ascii="Calibri" w:hAnsi="Calibri" w:cs="Calibri"/>
          <w:sz w:val="22"/>
          <w:szCs w:val="22"/>
        </w:rPr>
      </w:pPr>
      <w:r w:rsidRPr="00C20664">
        <w:rPr>
          <w:rFonts w:ascii="Calibri" w:hAnsi="Calibri" w:cs="Calibri"/>
          <w:sz w:val="22"/>
          <w:szCs w:val="22"/>
        </w:rPr>
        <w:t xml:space="preserve">The combination of Local Strategy and Project Initialization </w:t>
      </w:r>
      <w:r w:rsidR="00FB1F7C">
        <w:rPr>
          <w:rFonts w:ascii="Calibri" w:hAnsi="Calibri" w:cs="Calibri"/>
          <w:sz w:val="22"/>
          <w:szCs w:val="22"/>
        </w:rPr>
        <w:t>G</w:t>
      </w:r>
      <w:r w:rsidRPr="00C20664">
        <w:rPr>
          <w:rFonts w:ascii="Calibri" w:hAnsi="Calibri" w:cs="Calibri"/>
          <w:sz w:val="22"/>
          <w:szCs w:val="22"/>
        </w:rPr>
        <w:t xml:space="preserve">rants fund all the initial steps before advancing to funding requests for design and construction. This process is intended to result in </w:t>
      </w:r>
      <w:r w:rsidR="00724A8E" w:rsidRPr="00C20664">
        <w:rPr>
          <w:rFonts w:ascii="Calibri" w:hAnsi="Calibri" w:cs="Calibri"/>
          <w:sz w:val="22"/>
          <w:szCs w:val="22"/>
        </w:rPr>
        <w:lastRenderedPageBreak/>
        <w:t>developing</w:t>
      </w:r>
      <w:r w:rsidRPr="00C20664">
        <w:rPr>
          <w:rFonts w:ascii="Calibri" w:hAnsi="Calibri" w:cs="Calibri"/>
          <w:sz w:val="22"/>
          <w:szCs w:val="22"/>
        </w:rPr>
        <w:t xml:space="preserve"> projects </w:t>
      </w:r>
      <w:r w:rsidR="00724A8E" w:rsidRPr="00C20664">
        <w:rPr>
          <w:rFonts w:ascii="Calibri" w:hAnsi="Calibri" w:cs="Calibri"/>
          <w:sz w:val="22"/>
          <w:szCs w:val="22"/>
        </w:rPr>
        <w:t xml:space="preserve">for implementation </w:t>
      </w:r>
      <w:r w:rsidR="00FB1F7C">
        <w:rPr>
          <w:rFonts w:ascii="Calibri" w:hAnsi="Calibri" w:cs="Calibri"/>
          <w:sz w:val="22"/>
          <w:szCs w:val="22"/>
        </w:rPr>
        <w:t>that</w:t>
      </w:r>
      <w:r w:rsidR="00FB1F7C" w:rsidRPr="00C20664">
        <w:rPr>
          <w:rFonts w:ascii="Calibri" w:hAnsi="Calibri" w:cs="Calibri"/>
          <w:sz w:val="22"/>
          <w:szCs w:val="22"/>
        </w:rPr>
        <w:t xml:space="preserve"> </w:t>
      </w:r>
      <w:r w:rsidRPr="00C20664">
        <w:rPr>
          <w:rFonts w:ascii="Calibri" w:hAnsi="Calibri" w:cs="Calibri"/>
          <w:sz w:val="22"/>
          <w:szCs w:val="22"/>
        </w:rPr>
        <w:t>are feasible and</w:t>
      </w:r>
      <w:r w:rsidR="000B298A" w:rsidRPr="00C20664">
        <w:rPr>
          <w:rFonts w:ascii="Calibri" w:hAnsi="Calibri" w:cs="Calibri"/>
          <w:sz w:val="22"/>
          <w:szCs w:val="22"/>
        </w:rPr>
        <w:t xml:space="preserve"> </w:t>
      </w:r>
      <w:r w:rsidRPr="00C20664">
        <w:rPr>
          <w:rFonts w:ascii="Calibri" w:hAnsi="Calibri" w:cs="Calibri"/>
          <w:sz w:val="22"/>
          <w:szCs w:val="22"/>
        </w:rPr>
        <w:t xml:space="preserve">address the limiting factors in the geographic spatial unit. </w:t>
      </w:r>
    </w:p>
    <w:p w14:paraId="684DE6F6" w14:textId="6141F71A" w:rsidR="00B67E6A" w:rsidRPr="00C20664" w:rsidRDefault="47EB709D" w:rsidP="00D66D1B">
      <w:pPr>
        <w:pStyle w:val="BodyText"/>
        <w:rPr>
          <w:rFonts w:ascii="Calibri" w:hAnsi="Calibri" w:cs="Calibri"/>
          <w:sz w:val="22"/>
          <w:szCs w:val="22"/>
        </w:rPr>
      </w:pPr>
      <w:r w:rsidRPr="00C20664">
        <w:rPr>
          <w:rFonts w:ascii="Calibri" w:hAnsi="Calibri" w:cs="Calibri"/>
          <w:sz w:val="22"/>
          <w:szCs w:val="22"/>
        </w:rPr>
        <w:t>Both Local Strategy and Project Initialization Grants can be proposed throughout the biennium as new opportunities arise to develop projects that align with the ASRP’s guidance. Both pathways require RIT and ASRP Steering Committee approval to receive funding but do not</w:t>
      </w:r>
      <w:r w:rsidR="00D800FA" w:rsidRPr="00C20664">
        <w:rPr>
          <w:rFonts w:ascii="Calibri" w:hAnsi="Calibri" w:cs="Calibri"/>
          <w:sz w:val="22"/>
          <w:szCs w:val="22"/>
        </w:rPr>
        <w:t xml:space="preserve"> require</w:t>
      </w:r>
      <w:r w:rsidRPr="00C20664">
        <w:rPr>
          <w:rFonts w:ascii="Calibri" w:hAnsi="Calibri" w:cs="Calibri"/>
          <w:sz w:val="22"/>
          <w:szCs w:val="22"/>
        </w:rPr>
        <w:t xml:space="preserve"> a recommendation for funding from the Technical Review Team. </w:t>
      </w:r>
    </w:p>
    <w:p w14:paraId="6595F9FD" w14:textId="77777777" w:rsidR="00B67E6A" w:rsidRDefault="00B67E6A" w:rsidP="00D66D1B">
      <w:pPr>
        <w:pStyle w:val="BodyText"/>
      </w:pPr>
    </w:p>
    <w:p w14:paraId="30FA936B" w14:textId="77777777" w:rsidR="00B67E6A" w:rsidRDefault="00B67E6A" w:rsidP="00D66D1B">
      <w:pPr>
        <w:pStyle w:val="BodyText"/>
      </w:pPr>
    </w:p>
    <w:p w14:paraId="1E3B54C5" w14:textId="77777777" w:rsidR="00CE2774" w:rsidRDefault="00CE2774" w:rsidP="00D66D1B">
      <w:pPr>
        <w:pStyle w:val="BodyText"/>
        <w:sectPr w:rsidR="00CE277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4B3F4A32" w14:textId="0B24453C" w:rsidR="002646F0" w:rsidRPr="00DB1580" w:rsidRDefault="00D800FA" w:rsidP="00CE2774">
      <w:pPr>
        <w:pStyle w:val="Heading1"/>
        <w:rPr>
          <w:rFonts w:ascii="Cambria" w:hAnsi="Cambria"/>
          <w:color w:val="065861"/>
        </w:rPr>
      </w:pPr>
      <w:r w:rsidRPr="00DB1580">
        <w:rPr>
          <w:rFonts w:ascii="Cambria" w:hAnsi="Cambria"/>
          <w:color w:val="065861"/>
        </w:rPr>
        <w:lastRenderedPageBreak/>
        <w:t>Appendix 1: FAQs</w:t>
      </w:r>
    </w:p>
    <w:tbl>
      <w:tblPr>
        <w:tblStyle w:val="ListTable4-Accent5"/>
        <w:tblW w:w="5000" w:type="pct"/>
        <w:tblBorders>
          <w:top w:val="single" w:sz="4" w:space="0" w:color="065861"/>
          <w:left w:val="single" w:sz="4" w:space="0" w:color="065861"/>
          <w:bottom w:val="single" w:sz="4" w:space="0" w:color="065861"/>
          <w:right w:val="single" w:sz="4" w:space="0" w:color="065861"/>
          <w:insideH w:val="single" w:sz="4" w:space="0" w:color="065861"/>
          <w:insideV w:val="single" w:sz="4" w:space="0" w:color="065861"/>
        </w:tblBorders>
        <w:tblLook w:val="0420" w:firstRow="1" w:lastRow="0" w:firstColumn="0" w:lastColumn="0" w:noHBand="0" w:noVBand="1"/>
      </w:tblPr>
      <w:tblGrid>
        <w:gridCol w:w="3908"/>
        <w:gridCol w:w="5442"/>
      </w:tblGrid>
      <w:tr w:rsidR="002646F0" w:rsidRPr="002646F0" w14:paraId="30E59491" w14:textId="77777777" w:rsidTr="00C20664">
        <w:trPr>
          <w:cnfStyle w:val="100000000000" w:firstRow="1" w:lastRow="0" w:firstColumn="0" w:lastColumn="0" w:oddVBand="0" w:evenVBand="0" w:oddHBand="0" w:evenHBand="0" w:firstRowFirstColumn="0" w:firstRowLastColumn="0" w:lastRowFirstColumn="0" w:lastRowLastColumn="0"/>
          <w:trHeight w:val="313"/>
        </w:trPr>
        <w:tc>
          <w:tcPr>
            <w:tcW w:w="2090" w:type="pct"/>
            <w:tcBorders>
              <w:top w:val="none" w:sz="0" w:space="0" w:color="auto"/>
              <w:left w:val="none" w:sz="0" w:space="0" w:color="auto"/>
              <w:bottom w:val="none" w:sz="0" w:space="0" w:color="auto"/>
            </w:tcBorders>
            <w:shd w:val="clear" w:color="auto" w:fill="065861"/>
            <w:hideMark/>
          </w:tcPr>
          <w:p w14:paraId="222C6B28" w14:textId="38411297" w:rsidR="002646F0" w:rsidRPr="00C20664" w:rsidRDefault="007A269B" w:rsidP="00C20664">
            <w:pPr>
              <w:pStyle w:val="TableParagraph"/>
              <w:rPr>
                <w:sz w:val="20"/>
                <w:szCs w:val="20"/>
              </w:rPr>
            </w:pPr>
            <w:r w:rsidRPr="007A269B">
              <w:rPr>
                <w:sz w:val="20"/>
                <w:szCs w:val="20"/>
              </w:rPr>
              <w:t>QUESTION</w:t>
            </w:r>
          </w:p>
        </w:tc>
        <w:tc>
          <w:tcPr>
            <w:tcW w:w="2910" w:type="pct"/>
            <w:tcBorders>
              <w:top w:val="none" w:sz="0" w:space="0" w:color="auto"/>
              <w:bottom w:val="none" w:sz="0" w:space="0" w:color="auto"/>
              <w:right w:val="none" w:sz="0" w:space="0" w:color="auto"/>
            </w:tcBorders>
            <w:shd w:val="clear" w:color="auto" w:fill="065861"/>
            <w:hideMark/>
          </w:tcPr>
          <w:p w14:paraId="1D17B0C7" w14:textId="5C37CCFA" w:rsidR="002646F0" w:rsidRPr="00C20664" w:rsidRDefault="007A269B" w:rsidP="00C20664">
            <w:pPr>
              <w:pStyle w:val="TableParagraph"/>
              <w:rPr>
                <w:sz w:val="20"/>
                <w:szCs w:val="20"/>
              </w:rPr>
            </w:pPr>
            <w:r w:rsidRPr="007A269B">
              <w:rPr>
                <w:sz w:val="20"/>
                <w:szCs w:val="20"/>
              </w:rPr>
              <w:t>ANSWER</w:t>
            </w:r>
          </w:p>
        </w:tc>
      </w:tr>
      <w:tr w:rsidR="002646F0" w:rsidRPr="002646F0" w14:paraId="715A12EE" w14:textId="77777777" w:rsidTr="00C20664">
        <w:trPr>
          <w:cnfStyle w:val="000000100000" w:firstRow="0" w:lastRow="0" w:firstColumn="0" w:lastColumn="0" w:oddVBand="0" w:evenVBand="0" w:oddHBand="1" w:evenHBand="0" w:firstRowFirstColumn="0" w:firstRowLastColumn="0" w:lastRowFirstColumn="0" w:lastRowLastColumn="0"/>
          <w:trHeight w:val="1562"/>
        </w:trPr>
        <w:tc>
          <w:tcPr>
            <w:tcW w:w="2090" w:type="pct"/>
            <w:shd w:val="clear" w:color="auto" w:fill="F2F2F2" w:themeFill="background1" w:themeFillShade="F2"/>
            <w:hideMark/>
          </w:tcPr>
          <w:p w14:paraId="72814315" w14:textId="471534CD" w:rsidR="002646F0" w:rsidRPr="00C20664" w:rsidRDefault="2D62D570" w:rsidP="002646F0">
            <w:pPr>
              <w:pStyle w:val="BodyText"/>
              <w:rPr>
                <w:rFonts w:ascii="Calibri" w:hAnsi="Calibri" w:cs="Calibri"/>
                <w:sz w:val="20"/>
                <w:szCs w:val="20"/>
              </w:rPr>
            </w:pPr>
            <w:r w:rsidRPr="00C20664">
              <w:rPr>
                <w:rFonts w:ascii="Calibri" w:hAnsi="Calibri" w:cs="Calibri"/>
                <w:sz w:val="20"/>
                <w:szCs w:val="20"/>
              </w:rPr>
              <w:t xml:space="preserve">Do project sponsors have to wait for a </w:t>
            </w:r>
            <w:r w:rsidR="0067368C" w:rsidRPr="0067368C">
              <w:rPr>
                <w:rFonts w:ascii="Calibri" w:hAnsi="Calibri" w:cs="Calibri"/>
                <w:sz w:val="20"/>
                <w:szCs w:val="20"/>
              </w:rPr>
              <w:t>local strate</w:t>
            </w:r>
            <w:r w:rsidRPr="00C20664">
              <w:rPr>
                <w:rFonts w:ascii="Calibri" w:hAnsi="Calibri" w:cs="Calibri"/>
                <w:sz w:val="20"/>
                <w:szCs w:val="20"/>
              </w:rPr>
              <w:t xml:space="preserve">gy to be completed before implementing or developing projects in that GSU or </w:t>
            </w:r>
            <w:r w:rsidR="0067368C" w:rsidRPr="0067368C">
              <w:rPr>
                <w:rFonts w:ascii="Calibri" w:hAnsi="Calibri" w:cs="Calibri"/>
                <w:sz w:val="20"/>
                <w:szCs w:val="20"/>
              </w:rPr>
              <w:t>local strategy</w:t>
            </w:r>
            <w:r w:rsidRPr="00C20664">
              <w:rPr>
                <w:rFonts w:ascii="Calibri" w:hAnsi="Calibri" w:cs="Calibri"/>
                <w:sz w:val="20"/>
                <w:szCs w:val="20"/>
              </w:rPr>
              <w:t xml:space="preserve"> region?</w:t>
            </w:r>
          </w:p>
        </w:tc>
        <w:tc>
          <w:tcPr>
            <w:tcW w:w="2910" w:type="pct"/>
            <w:shd w:val="clear" w:color="auto" w:fill="F2F2F2" w:themeFill="background1" w:themeFillShade="F2"/>
            <w:hideMark/>
          </w:tcPr>
          <w:p w14:paraId="63F7769C" w14:textId="7C2BEC85" w:rsidR="002646F0" w:rsidRPr="00C20664" w:rsidRDefault="46A98E90" w:rsidP="002646F0">
            <w:pPr>
              <w:pStyle w:val="ListBullet"/>
              <w:rPr>
                <w:rFonts w:ascii="Calibri" w:hAnsi="Calibri" w:cs="Calibri"/>
                <w:sz w:val="20"/>
                <w:szCs w:val="20"/>
              </w:rPr>
            </w:pPr>
            <w:r w:rsidRPr="00C20664">
              <w:rPr>
                <w:rFonts w:ascii="Calibri" w:hAnsi="Calibri" w:cs="Calibri"/>
                <w:sz w:val="20"/>
                <w:szCs w:val="20"/>
              </w:rPr>
              <w:t>Projects can be proposed at any time</w:t>
            </w:r>
            <w:r w:rsidR="0067368C">
              <w:rPr>
                <w:rFonts w:ascii="Calibri" w:hAnsi="Calibri" w:cs="Calibri"/>
                <w:sz w:val="20"/>
                <w:szCs w:val="20"/>
              </w:rPr>
              <w:t>.</w:t>
            </w:r>
          </w:p>
          <w:p w14:paraId="278E33C9" w14:textId="4F2F8063" w:rsidR="002646F0" w:rsidRPr="00C20664" w:rsidRDefault="46A98E90" w:rsidP="002646F0">
            <w:pPr>
              <w:pStyle w:val="ListBullet"/>
              <w:rPr>
                <w:rFonts w:ascii="Calibri" w:hAnsi="Calibri" w:cs="Calibri"/>
                <w:sz w:val="20"/>
                <w:szCs w:val="20"/>
              </w:rPr>
            </w:pPr>
            <w:r w:rsidRPr="00C20664">
              <w:rPr>
                <w:rFonts w:ascii="Calibri" w:hAnsi="Calibri" w:cs="Calibri"/>
                <w:sz w:val="20"/>
                <w:szCs w:val="20"/>
              </w:rPr>
              <w:t>All</w:t>
            </w:r>
            <w:r w:rsidR="00314CB0" w:rsidRPr="00C20664">
              <w:rPr>
                <w:rFonts w:ascii="Calibri" w:hAnsi="Calibri" w:cs="Calibri"/>
                <w:sz w:val="20"/>
                <w:szCs w:val="20"/>
              </w:rPr>
              <w:t xml:space="preserve"> aquatic species</w:t>
            </w:r>
            <w:r w:rsidRPr="00C20664">
              <w:rPr>
                <w:rFonts w:ascii="Calibri" w:hAnsi="Calibri" w:cs="Calibri"/>
                <w:sz w:val="20"/>
                <w:szCs w:val="20"/>
              </w:rPr>
              <w:t xml:space="preserve"> </w:t>
            </w:r>
            <w:r w:rsidR="00314CB0" w:rsidRPr="00C20664">
              <w:rPr>
                <w:rFonts w:ascii="Calibri" w:hAnsi="Calibri" w:cs="Calibri"/>
                <w:sz w:val="20"/>
                <w:szCs w:val="20"/>
              </w:rPr>
              <w:t xml:space="preserve">habitat </w:t>
            </w:r>
            <w:r w:rsidRPr="00C20664">
              <w:rPr>
                <w:rFonts w:ascii="Calibri" w:hAnsi="Calibri" w:cs="Calibri"/>
                <w:sz w:val="20"/>
                <w:szCs w:val="20"/>
              </w:rPr>
              <w:t xml:space="preserve">projects, in development or active, within the </w:t>
            </w:r>
            <w:r w:rsidR="0067368C" w:rsidRPr="0067368C">
              <w:rPr>
                <w:rFonts w:ascii="Calibri" w:hAnsi="Calibri" w:cs="Calibri"/>
                <w:sz w:val="20"/>
                <w:szCs w:val="20"/>
              </w:rPr>
              <w:t>local strategy</w:t>
            </w:r>
            <w:r w:rsidRPr="00C20664">
              <w:rPr>
                <w:rFonts w:ascii="Calibri" w:hAnsi="Calibri" w:cs="Calibri"/>
                <w:sz w:val="20"/>
                <w:szCs w:val="20"/>
              </w:rPr>
              <w:t xml:space="preserve"> area should be </w:t>
            </w:r>
            <w:r w:rsidR="00314CB0" w:rsidRPr="00C20664">
              <w:rPr>
                <w:rFonts w:ascii="Calibri" w:hAnsi="Calibri" w:cs="Calibri"/>
                <w:sz w:val="20"/>
                <w:szCs w:val="20"/>
              </w:rPr>
              <w:t xml:space="preserve">referenced </w:t>
            </w:r>
            <w:r w:rsidRPr="00C20664">
              <w:rPr>
                <w:rFonts w:ascii="Calibri" w:hAnsi="Calibri" w:cs="Calibri"/>
                <w:sz w:val="20"/>
                <w:szCs w:val="20"/>
              </w:rPr>
              <w:t xml:space="preserve">within the final </w:t>
            </w:r>
            <w:r w:rsidR="0067368C" w:rsidRPr="0067368C">
              <w:rPr>
                <w:rFonts w:ascii="Calibri" w:hAnsi="Calibri" w:cs="Calibri"/>
                <w:sz w:val="20"/>
                <w:szCs w:val="20"/>
              </w:rPr>
              <w:t>local strategy</w:t>
            </w:r>
            <w:r w:rsidRPr="00C20664">
              <w:rPr>
                <w:rFonts w:ascii="Calibri" w:hAnsi="Calibri" w:cs="Calibri"/>
                <w:sz w:val="20"/>
                <w:szCs w:val="20"/>
              </w:rPr>
              <w:t xml:space="preserve"> report</w:t>
            </w:r>
            <w:r w:rsidR="0067368C">
              <w:rPr>
                <w:rFonts w:ascii="Calibri" w:hAnsi="Calibri" w:cs="Calibri"/>
                <w:sz w:val="20"/>
                <w:szCs w:val="20"/>
              </w:rPr>
              <w:t>.</w:t>
            </w:r>
          </w:p>
          <w:p w14:paraId="15657C31" w14:textId="5422A75C" w:rsidR="002646F0" w:rsidRPr="00C20664" w:rsidRDefault="46A98E90" w:rsidP="002646F0">
            <w:pPr>
              <w:pStyle w:val="ListBullet"/>
              <w:rPr>
                <w:rFonts w:ascii="Calibri" w:hAnsi="Calibri" w:cs="Calibri"/>
                <w:sz w:val="20"/>
                <w:szCs w:val="20"/>
              </w:rPr>
            </w:pPr>
            <w:r w:rsidRPr="00C20664">
              <w:rPr>
                <w:rFonts w:ascii="Calibri" w:hAnsi="Calibri" w:cs="Calibri"/>
                <w:sz w:val="20"/>
                <w:szCs w:val="20"/>
              </w:rPr>
              <w:t xml:space="preserve">If multiple projects are being proposed for a GSU without a local strategy, then the RIT may identify an organization(s) to create a </w:t>
            </w:r>
            <w:r w:rsidR="0067368C" w:rsidRPr="0067368C">
              <w:rPr>
                <w:rFonts w:ascii="Calibri" w:hAnsi="Calibri" w:cs="Calibri"/>
                <w:sz w:val="20"/>
                <w:szCs w:val="20"/>
              </w:rPr>
              <w:t xml:space="preserve">local strategy </w:t>
            </w:r>
            <w:r w:rsidRPr="00C20664">
              <w:rPr>
                <w:rFonts w:ascii="Calibri" w:hAnsi="Calibri" w:cs="Calibri"/>
                <w:sz w:val="20"/>
                <w:szCs w:val="20"/>
              </w:rPr>
              <w:t>for that GSU</w:t>
            </w:r>
            <w:r w:rsidR="0067368C">
              <w:rPr>
                <w:rFonts w:ascii="Calibri" w:hAnsi="Calibri" w:cs="Calibri"/>
                <w:sz w:val="20"/>
                <w:szCs w:val="20"/>
              </w:rPr>
              <w:t>.</w:t>
            </w:r>
          </w:p>
        </w:tc>
      </w:tr>
      <w:tr w:rsidR="002646F0" w:rsidRPr="002646F0" w14:paraId="1E2E1543" w14:textId="77777777" w:rsidTr="00C20664">
        <w:trPr>
          <w:trHeight w:val="538"/>
        </w:trPr>
        <w:tc>
          <w:tcPr>
            <w:tcW w:w="2090" w:type="pct"/>
            <w:hideMark/>
          </w:tcPr>
          <w:p w14:paraId="279517F8" w14:textId="51D467CF" w:rsidR="002646F0" w:rsidRPr="00C20664" w:rsidRDefault="002646F0" w:rsidP="002646F0">
            <w:pPr>
              <w:pStyle w:val="BodyText"/>
              <w:rPr>
                <w:rFonts w:ascii="Calibri" w:hAnsi="Calibri" w:cs="Calibri"/>
                <w:sz w:val="20"/>
                <w:szCs w:val="20"/>
              </w:rPr>
            </w:pPr>
            <w:r w:rsidRPr="00C20664">
              <w:rPr>
                <w:rFonts w:ascii="Calibri" w:hAnsi="Calibri" w:cs="Calibri"/>
                <w:sz w:val="20"/>
                <w:szCs w:val="20"/>
              </w:rPr>
              <w:t xml:space="preserve">Do all projects have to be part of a </w:t>
            </w:r>
            <w:r w:rsidR="0067368C" w:rsidRPr="0067368C">
              <w:rPr>
                <w:rFonts w:ascii="Calibri" w:hAnsi="Calibri" w:cs="Calibri"/>
                <w:sz w:val="20"/>
                <w:szCs w:val="20"/>
              </w:rPr>
              <w:t>local strategy</w:t>
            </w:r>
            <w:r w:rsidRPr="00C20664">
              <w:rPr>
                <w:rFonts w:ascii="Calibri" w:hAnsi="Calibri" w:cs="Calibri"/>
                <w:sz w:val="20"/>
                <w:szCs w:val="20"/>
              </w:rPr>
              <w:t>?</w:t>
            </w:r>
          </w:p>
        </w:tc>
        <w:tc>
          <w:tcPr>
            <w:tcW w:w="2910" w:type="pct"/>
            <w:hideMark/>
          </w:tcPr>
          <w:p w14:paraId="1DC540F7" w14:textId="4AF1378A" w:rsidR="002646F0" w:rsidRPr="00C20664" w:rsidRDefault="46A98E90" w:rsidP="002646F0">
            <w:pPr>
              <w:pStyle w:val="ListBullet"/>
              <w:rPr>
                <w:rFonts w:ascii="Calibri" w:hAnsi="Calibri" w:cs="Calibri"/>
                <w:sz w:val="20"/>
                <w:szCs w:val="20"/>
              </w:rPr>
            </w:pPr>
            <w:r w:rsidRPr="00C20664">
              <w:rPr>
                <w:rFonts w:ascii="Calibri" w:hAnsi="Calibri" w:cs="Calibri"/>
                <w:sz w:val="20"/>
                <w:szCs w:val="20"/>
              </w:rPr>
              <w:t xml:space="preserve">Local </w:t>
            </w:r>
            <w:r w:rsidR="0067368C" w:rsidRPr="0067368C">
              <w:rPr>
                <w:rFonts w:ascii="Calibri" w:hAnsi="Calibri" w:cs="Calibri"/>
                <w:sz w:val="20"/>
                <w:szCs w:val="20"/>
              </w:rPr>
              <w:t xml:space="preserve">strategy </w:t>
            </w:r>
            <w:r w:rsidRPr="00C20664">
              <w:rPr>
                <w:rFonts w:ascii="Calibri" w:hAnsi="Calibri" w:cs="Calibri"/>
                <w:sz w:val="20"/>
                <w:szCs w:val="20"/>
              </w:rPr>
              <w:t xml:space="preserve">reports are static documents produced during a specific moment in time, but the RIT </w:t>
            </w:r>
            <w:r w:rsidR="000B298A" w:rsidRPr="00C20664">
              <w:rPr>
                <w:rFonts w:ascii="Calibri" w:hAnsi="Calibri" w:cs="Calibri"/>
                <w:sz w:val="20"/>
                <w:szCs w:val="20"/>
              </w:rPr>
              <w:t xml:space="preserve">also </w:t>
            </w:r>
            <w:r w:rsidRPr="00C20664">
              <w:rPr>
                <w:rFonts w:ascii="Calibri" w:hAnsi="Calibri" w:cs="Calibri"/>
                <w:sz w:val="20"/>
                <w:szCs w:val="20"/>
              </w:rPr>
              <w:t xml:space="preserve">manages a living project development database that is updated as new opportunities arise or as new science becomes available to </w:t>
            </w:r>
            <w:r w:rsidR="00BD1617" w:rsidRPr="00C20664">
              <w:rPr>
                <w:rFonts w:ascii="Calibri" w:hAnsi="Calibri" w:cs="Calibri"/>
                <w:sz w:val="20"/>
                <w:szCs w:val="20"/>
              </w:rPr>
              <w:t xml:space="preserve">potentially prompt </w:t>
            </w:r>
            <w:r w:rsidRPr="00C20664">
              <w:rPr>
                <w:rFonts w:ascii="Calibri" w:hAnsi="Calibri" w:cs="Calibri"/>
                <w:sz w:val="20"/>
                <w:szCs w:val="20"/>
              </w:rPr>
              <w:t>reprioritization</w:t>
            </w:r>
            <w:r w:rsidR="0067368C">
              <w:rPr>
                <w:rFonts w:ascii="Calibri" w:hAnsi="Calibri" w:cs="Calibri"/>
                <w:sz w:val="20"/>
                <w:szCs w:val="20"/>
              </w:rPr>
              <w:t>.</w:t>
            </w:r>
          </w:p>
          <w:p w14:paraId="3359FC3A" w14:textId="3C3F7414" w:rsidR="002646F0" w:rsidRPr="00C20664" w:rsidRDefault="46A98E90" w:rsidP="002646F0">
            <w:pPr>
              <w:pStyle w:val="ListBullet"/>
              <w:rPr>
                <w:rFonts w:ascii="Calibri" w:hAnsi="Calibri" w:cs="Calibri"/>
                <w:sz w:val="20"/>
                <w:szCs w:val="20"/>
              </w:rPr>
            </w:pPr>
            <w:r w:rsidRPr="00C20664">
              <w:rPr>
                <w:rFonts w:ascii="Calibri" w:hAnsi="Calibri" w:cs="Calibri"/>
                <w:sz w:val="20"/>
                <w:szCs w:val="20"/>
              </w:rPr>
              <w:t xml:space="preserve">New opportunities in the </w:t>
            </w:r>
            <w:r w:rsidR="0067368C" w:rsidRPr="0067368C">
              <w:rPr>
                <w:rFonts w:ascii="Calibri" w:hAnsi="Calibri" w:cs="Calibri"/>
                <w:sz w:val="20"/>
                <w:szCs w:val="20"/>
              </w:rPr>
              <w:t xml:space="preserve">local strategy </w:t>
            </w:r>
            <w:r w:rsidRPr="00C20664">
              <w:rPr>
                <w:rFonts w:ascii="Calibri" w:hAnsi="Calibri" w:cs="Calibri"/>
                <w:sz w:val="20"/>
                <w:szCs w:val="20"/>
              </w:rPr>
              <w:t xml:space="preserve">region should be assessed relative to projects identified in the </w:t>
            </w:r>
            <w:r w:rsidR="0067368C" w:rsidRPr="0067368C">
              <w:rPr>
                <w:rFonts w:ascii="Calibri" w:hAnsi="Calibri" w:cs="Calibri"/>
                <w:sz w:val="20"/>
                <w:szCs w:val="20"/>
              </w:rPr>
              <w:t xml:space="preserve">local strategy </w:t>
            </w:r>
            <w:r w:rsidRPr="00C20664">
              <w:rPr>
                <w:rFonts w:ascii="Calibri" w:hAnsi="Calibri" w:cs="Calibri"/>
                <w:sz w:val="20"/>
                <w:szCs w:val="20"/>
              </w:rPr>
              <w:t>report</w:t>
            </w:r>
            <w:r w:rsidR="0067368C">
              <w:rPr>
                <w:rFonts w:ascii="Calibri" w:hAnsi="Calibri" w:cs="Calibri"/>
                <w:sz w:val="20"/>
                <w:szCs w:val="20"/>
              </w:rPr>
              <w:t>.</w:t>
            </w:r>
          </w:p>
        </w:tc>
      </w:tr>
      <w:tr w:rsidR="002646F0" w:rsidRPr="002646F0" w14:paraId="7475D1B0" w14:textId="77777777" w:rsidTr="00C20664">
        <w:trPr>
          <w:cnfStyle w:val="000000100000" w:firstRow="0" w:lastRow="0" w:firstColumn="0" w:lastColumn="0" w:oddVBand="0" w:evenVBand="0" w:oddHBand="1" w:evenHBand="0" w:firstRowFirstColumn="0" w:firstRowLastColumn="0" w:lastRowFirstColumn="0" w:lastRowLastColumn="0"/>
          <w:trHeight w:val="1240"/>
        </w:trPr>
        <w:tc>
          <w:tcPr>
            <w:tcW w:w="2090" w:type="pct"/>
            <w:shd w:val="clear" w:color="auto" w:fill="F2F2F2" w:themeFill="background1" w:themeFillShade="F2"/>
            <w:hideMark/>
          </w:tcPr>
          <w:p w14:paraId="68F27D29" w14:textId="01AC8A45" w:rsidR="002646F0" w:rsidRPr="00C20664" w:rsidRDefault="2D62D570" w:rsidP="002646F0">
            <w:pPr>
              <w:pStyle w:val="BodyText"/>
              <w:rPr>
                <w:rFonts w:ascii="Calibri" w:hAnsi="Calibri" w:cs="Calibri"/>
                <w:sz w:val="20"/>
                <w:szCs w:val="20"/>
              </w:rPr>
            </w:pPr>
            <w:r w:rsidRPr="00C20664">
              <w:rPr>
                <w:rFonts w:ascii="Calibri" w:hAnsi="Calibri" w:cs="Calibri"/>
                <w:sz w:val="20"/>
                <w:szCs w:val="20"/>
              </w:rPr>
              <w:t>Do all projects need a Project Initialization Grant?</w:t>
            </w:r>
          </w:p>
        </w:tc>
        <w:tc>
          <w:tcPr>
            <w:tcW w:w="2910" w:type="pct"/>
            <w:shd w:val="clear" w:color="auto" w:fill="F2F2F2" w:themeFill="background1" w:themeFillShade="F2"/>
            <w:hideMark/>
          </w:tcPr>
          <w:p w14:paraId="39B87539" w14:textId="75484E1C" w:rsidR="002646F0" w:rsidRPr="00C20664" w:rsidRDefault="46A98E90" w:rsidP="002646F0">
            <w:pPr>
              <w:pStyle w:val="ListBullet"/>
              <w:rPr>
                <w:rFonts w:ascii="Calibri" w:hAnsi="Calibri" w:cs="Calibri"/>
                <w:sz w:val="20"/>
                <w:szCs w:val="20"/>
              </w:rPr>
            </w:pPr>
            <w:r w:rsidRPr="00C20664">
              <w:rPr>
                <w:rFonts w:ascii="Calibri" w:hAnsi="Calibri" w:cs="Calibri"/>
                <w:sz w:val="20"/>
                <w:szCs w:val="20"/>
              </w:rPr>
              <w:t>Project Initialization Grants provide a funding pathway for (especially larger) projects to develop application materials. If a project already has sufficient materials for technical review, then they do not need a Project Initialization Grant.</w:t>
            </w:r>
          </w:p>
        </w:tc>
      </w:tr>
      <w:tr w:rsidR="002646F0" w:rsidRPr="002646F0" w14:paraId="4D37831A" w14:textId="77777777" w:rsidTr="00C20664">
        <w:trPr>
          <w:trHeight w:val="744"/>
        </w:trPr>
        <w:tc>
          <w:tcPr>
            <w:tcW w:w="2090" w:type="pct"/>
            <w:hideMark/>
          </w:tcPr>
          <w:p w14:paraId="66FA3FCD" w14:textId="49E452CF" w:rsidR="002646F0" w:rsidRPr="00C20664" w:rsidRDefault="47EB709D" w:rsidP="002646F0">
            <w:pPr>
              <w:pStyle w:val="BodyText"/>
              <w:rPr>
                <w:rFonts w:ascii="Calibri" w:hAnsi="Calibri" w:cs="Calibri"/>
                <w:sz w:val="20"/>
                <w:szCs w:val="20"/>
              </w:rPr>
            </w:pPr>
            <w:r w:rsidRPr="00C20664">
              <w:rPr>
                <w:rFonts w:ascii="Calibri" w:hAnsi="Calibri" w:cs="Calibri"/>
                <w:sz w:val="20"/>
                <w:szCs w:val="20"/>
              </w:rPr>
              <w:t xml:space="preserve">Do </w:t>
            </w:r>
            <w:r w:rsidR="0067368C" w:rsidRPr="0067368C">
              <w:rPr>
                <w:rFonts w:ascii="Calibri" w:hAnsi="Calibri" w:cs="Calibri"/>
                <w:sz w:val="20"/>
                <w:szCs w:val="20"/>
              </w:rPr>
              <w:t xml:space="preserve">local strategy </w:t>
            </w:r>
            <w:r w:rsidRPr="00C20664">
              <w:rPr>
                <w:rFonts w:ascii="Calibri" w:hAnsi="Calibri" w:cs="Calibri"/>
                <w:sz w:val="20"/>
                <w:szCs w:val="20"/>
              </w:rPr>
              <w:t>reports require both a landowner willingness and habitat assessment components?</w:t>
            </w:r>
          </w:p>
        </w:tc>
        <w:tc>
          <w:tcPr>
            <w:tcW w:w="2910" w:type="pct"/>
            <w:hideMark/>
          </w:tcPr>
          <w:p w14:paraId="785807C0" w14:textId="6427961F" w:rsidR="002646F0" w:rsidRPr="00C20664" w:rsidRDefault="46A98E90" w:rsidP="002646F0">
            <w:pPr>
              <w:pStyle w:val="ListBullet"/>
              <w:rPr>
                <w:rFonts w:ascii="Calibri" w:hAnsi="Calibri" w:cs="Calibri"/>
                <w:sz w:val="20"/>
                <w:szCs w:val="20"/>
              </w:rPr>
            </w:pPr>
            <w:r w:rsidRPr="00C20664">
              <w:rPr>
                <w:rFonts w:ascii="Calibri" w:hAnsi="Calibri" w:cs="Calibri"/>
                <w:sz w:val="20"/>
                <w:szCs w:val="20"/>
              </w:rPr>
              <w:t>No</w:t>
            </w:r>
            <w:r w:rsidR="0067368C">
              <w:rPr>
                <w:rFonts w:ascii="Calibri" w:hAnsi="Calibri" w:cs="Calibri"/>
                <w:sz w:val="20"/>
                <w:szCs w:val="20"/>
              </w:rPr>
              <w:t>;</w:t>
            </w:r>
            <w:r w:rsidRPr="00C20664">
              <w:rPr>
                <w:rFonts w:ascii="Calibri" w:hAnsi="Calibri" w:cs="Calibri"/>
                <w:sz w:val="20"/>
                <w:szCs w:val="20"/>
              </w:rPr>
              <w:t xml:space="preserve"> these components can be separated into different, but ideally concurrent, Local Strategy </w:t>
            </w:r>
            <w:r w:rsidR="0067368C">
              <w:rPr>
                <w:rFonts w:ascii="Calibri" w:hAnsi="Calibri" w:cs="Calibri"/>
                <w:sz w:val="20"/>
                <w:szCs w:val="20"/>
              </w:rPr>
              <w:t>G</w:t>
            </w:r>
            <w:r w:rsidRPr="00C20664">
              <w:rPr>
                <w:rFonts w:ascii="Calibri" w:hAnsi="Calibri" w:cs="Calibri"/>
                <w:sz w:val="20"/>
                <w:szCs w:val="20"/>
              </w:rPr>
              <w:t>rants</w:t>
            </w:r>
            <w:r w:rsidR="0067368C">
              <w:rPr>
                <w:rFonts w:ascii="Calibri" w:hAnsi="Calibri" w:cs="Calibri"/>
                <w:sz w:val="20"/>
                <w:szCs w:val="20"/>
              </w:rPr>
              <w:t>.</w:t>
            </w:r>
            <w:r w:rsidRPr="00C20664">
              <w:rPr>
                <w:rFonts w:ascii="Calibri" w:hAnsi="Calibri" w:cs="Calibri"/>
                <w:sz w:val="20"/>
                <w:szCs w:val="20"/>
              </w:rPr>
              <w:t xml:space="preserve"> </w:t>
            </w:r>
          </w:p>
          <w:p w14:paraId="1037F17A" w14:textId="654A2F4A" w:rsidR="00753A5E" w:rsidRPr="00C20664" w:rsidRDefault="46A98E90" w:rsidP="00753A5E">
            <w:pPr>
              <w:pStyle w:val="ListBullet"/>
              <w:rPr>
                <w:rFonts w:ascii="Calibri" w:hAnsi="Calibri" w:cs="Calibri"/>
                <w:sz w:val="20"/>
                <w:szCs w:val="20"/>
              </w:rPr>
            </w:pPr>
            <w:r w:rsidRPr="00C20664">
              <w:rPr>
                <w:rFonts w:ascii="Calibri" w:hAnsi="Calibri" w:cs="Calibri"/>
                <w:sz w:val="20"/>
                <w:szCs w:val="20"/>
              </w:rPr>
              <w:t xml:space="preserve">Both habitat characteristics and landowner willingness need to be known </w:t>
            </w:r>
            <w:proofErr w:type="gramStart"/>
            <w:r w:rsidRPr="00C20664">
              <w:rPr>
                <w:rFonts w:ascii="Calibri" w:hAnsi="Calibri" w:cs="Calibri"/>
                <w:sz w:val="20"/>
                <w:szCs w:val="20"/>
              </w:rPr>
              <w:t>in order to</w:t>
            </w:r>
            <w:proofErr w:type="gramEnd"/>
            <w:r w:rsidRPr="00C20664">
              <w:rPr>
                <w:rFonts w:ascii="Calibri" w:hAnsi="Calibri" w:cs="Calibri"/>
                <w:sz w:val="20"/>
                <w:szCs w:val="20"/>
              </w:rPr>
              <w:t xml:space="preserve"> prioritize projects</w:t>
            </w:r>
            <w:r w:rsidR="0067368C">
              <w:rPr>
                <w:rFonts w:ascii="Calibri" w:hAnsi="Calibri" w:cs="Calibri"/>
                <w:sz w:val="20"/>
                <w:szCs w:val="20"/>
              </w:rPr>
              <w:t>.</w:t>
            </w:r>
            <w:r w:rsidRPr="00C20664">
              <w:rPr>
                <w:rFonts w:ascii="Calibri" w:hAnsi="Calibri" w:cs="Calibri"/>
                <w:sz w:val="20"/>
                <w:szCs w:val="20"/>
              </w:rPr>
              <w:t xml:space="preserve"> </w:t>
            </w:r>
          </w:p>
        </w:tc>
      </w:tr>
    </w:tbl>
    <w:p w14:paraId="6804E112" w14:textId="77777777" w:rsidR="00CE2774" w:rsidRDefault="00CE2774" w:rsidP="00CE2774">
      <w:pPr>
        <w:pStyle w:val="Heading1"/>
        <w:sectPr w:rsidR="00CE2774">
          <w:pgSz w:w="12240" w:h="15840"/>
          <w:pgMar w:top="1440" w:right="1440" w:bottom="1440" w:left="1440" w:header="720" w:footer="720" w:gutter="0"/>
          <w:cols w:space="720"/>
          <w:docGrid w:linePitch="360"/>
        </w:sectPr>
      </w:pPr>
    </w:p>
    <w:p w14:paraId="5BF60E75" w14:textId="199CF384" w:rsidR="005B1DC1" w:rsidRPr="00DB1580" w:rsidRDefault="005B1DC1" w:rsidP="00CE2774">
      <w:pPr>
        <w:pStyle w:val="Heading1"/>
        <w:rPr>
          <w:rFonts w:ascii="Cambria" w:hAnsi="Cambria"/>
          <w:color w:val="065861"/>
        </w:rPr>
      </w:pPr>
      <w:r w:rsidRPr="00DB1580">
        <w:rPr>
          <w:rFonts w:ascii="Cambria" w:hAnsi="Cambria"/>
          <w:color w:val="065861"/>
        </w:rPr>
        <w:lastRenderedPageBreak/>
        <w:t xml:space="preserve">Appendix </w:t>
      </w:r>
      <w:r w:rsidR="00D800FA" w:rsidRPr="00DB1580">
        <w:rPr>
          <w:rFonts w:ascii="Cambria" w:hAnsi="Cambria"/>
          <w:color w:val="065861"/>
        </w:rPr>
        <w:t>2</w:t>
      </w:r>
      <w:r w:rsidRPr="00DB1580">
        <w:rPr>
          <w:rFonts w:ascii="Cambria" w:hAnsi="Cambria"/>
          <w:color w:val="065861"/>
        </w:rPr>
        <w:t xml:space="preserve">: Local Strategy Process for Project Prioritization </w:t>
      </w:r>
    </w:p>
    <w:p w14:paraId="1BE4C14E" w14:textId="77777777" w:rsidR="00753A5E" w:rsidRPr="00C20664" w:rsidRDefault="00753A5E" w:rsidP="00C20664">
      <w:pPr>
        <w:pStyle w:val="BodyText"/>
        <w:rPr>
          <w:rFonts w:ascii="Calibri" w:hAnsi="Calibri" w:cs="Calibri"/>
          <w:sz w:val="22"/>
          <w:szCs w:val="22"/>
        </w:rPr>
      </w:pPr>
      <w:r w:rsidRPr="00C20664">
        <w:rPr>
          <w:rFonts w:ascii="Calibri" w:hAnsi="Calibri" w:cs="Calibri"/>
          <w:sz w:val="22"/>
          <w:szCs w:val="22"/>
        </w:rPr>
        <w:t>After a local strategy is completed and the identified willing landowners and project opportunities have been added to the ASRP project development database, p</w:t>
      </w:r>
      <w:r w:rsidR="005B1DC1" w:rsidRPr="00C20664">
        <w:rPr>
          <w:rFonts w:ascii="Calibri" w:hAnsi="Calibri" w:cs="Calibri"/>
          <w:sz w:val="22"/>
          <w:szCs w:val="22"/>
        </w:rPr>
        <w:t xml:space="preserve">roject sponsors will </w:t>
      </w:r>
      <w:r w:rsidRPr="00C20664">
        <w:rPr>
          <w:rFonts w:ascii="Calibri" w:hAnsi="Calibri" w:cs="Calibri"/>
          <w:sz w:val="22"/>
          <w:szCs w:val="22"/>
        </w:rPr>
        <w:t xml:space="preserve">participate in a prioritization process to help sequence implementation. </w:t>
      </w:r>
    </w:p>
    <w:p w14:paraId="4A00FD1E" w14:textId="5DB7135A" w:rsidR="00C2044E" w:rsidRPr="00C20664" w:rsidRDefault="00C2044E" w:rsidP="00C20664">
      <w:pPr>
        <w:pStyle w:val="BodyText"/>
        <w:rPr>
          <w:rFonts w:ascii="Calibri" w:hAnsi="Calibri" w:cs="Calibri"/>
          <w:sz w:val="22"/>
          <w:szCs w:val="22"/>
        </w:rPr>
      </w:pPr>
      <w:r w:rsidRPr="00C20664">
        <w:rPr>
          <w:rFonts w:ascii="Calibri" w:hAnsi="Calibri" w:cs="Calibri"/>
          <w:sz w:val="22"/>
          <w:szCs w:val="22"/>
        </w:rPr>
        <w:t xml:space="preserve">Project </w:t>
      </w:r>
      <w:r w:rsidR="000B298A" w:rsidRPr="00C20664">
        <w:rPr>
          <w:rFonts w:ascii="Calibri" w:hAnsi="Calibri" w:cs="Calibri"/>
          <w:sz w:val="22"/>
          <w:szCs w:val="22"/>
        </w:rPr>
        <w:t>p</w:t>
      </w:r>
      <w:r w:rsidRPr="00C20664">
        <w:rPr>
          <w:rFonts w:ascii="Calibri" w:hAnsi="Calibri" w:cs="Calibri"/>
          <w:sz w:val="22"/>
          <w:szCs w:val="22"/>
        </w:rPr>
        <w:t xml:space="preserve">rioritization and sponsor matching will occur at </w:t>
      </w:r>
      <w:r w:rsidR="009800F8" w:rsidRPr="00C20664">
        <w:rPr>
          <w:rFonts w:ascii="Calibri" w:hAnsi="Calibri" w:cs="Calibri"/>
          <w:sz w:val="22"/>
          <w:szCs w:val="22"/>
        </w:rPr>
        <w:t xml:space="preserve">twice-yearly </w:t>
      </w:r>
      <w:r w:rsidRPr="00C20664">
        <w:rPr>
          <w:rFonts w:ascii="Calibri" w:hAnsi="Calibri" w:cs="Calibri"/>
          <w:sz w:val="22"/>
          <w:szCs w:val="22"/>
        </w:rPr>
        <w:t xml:space="preserve">RIT meetings (or </w:t>
      </w:r>
      <w:r w:rsidR="00E74728">
        <w:rPr>
          <w:rFonts w:ascii="Calibri" w:hAnsi="Calibri" w:cs="Calibri"/>
          <w:sz w:val="22"/>
          <w:szCs w:val="22"/>
        </w:rPr>
        <w:t>an</w:t>
      </w:r>
      <w:r w:rsidRPr="00C20664">
        <w:rPr>
          <w:rFonts w:ascii="Calibri" w:hAnsi="Calibri" w:cs="Calibri"/>
          <w:sz w:val="22"/>
          <w:szCs w:val="22"/>
        </w:rPr>
        <w:t xml:space="preserve">other frequency determined by the RIT) </w:t>
      </w:r>
      <w:r w:rsidR="00E74728">
        <w:rPr>
          <w:rFonts w:ascii="Calibri" w:hAnsi="Calibri" w:cs="Calibri"/>
          <w:sz w:val="22"/>
          <w:szCs w:val="22"/>
        </w:rPr>
        <w:t>that</w:t>
      </w:r>
      <w:r w:rsidR="00E74728" w:rsidRPr="00C20664">
        <w:rPr>
          <w:rFonts w:ascii="Calibri" w:hAnsi="Calibri" w:cs="Calibri"/>
          <w:sz w:val="22"/>
          <w:szCs w:val="22"/>
        </w:rPr>
        <w:t xml:space="preserve"> </w:t>
      </w:r>
      <w:r w:rsidRPr="00C20664">
        <w:rPr>
          <w:rFonts w:ascii="Calibri" w:hAnsi="Calibri" w:cs="Calibri"/>
          <w:sz w:val="22"/>
          <w:szCs w:val="22"/>
        </w:rPr>
        <w:t>replace the scheduled RIT meeting for that month. The ASRP project development database will be used to group potential project locations and actions by sub</w:t>
      </w:r>
      <w:r w:rsidR="00E74728">
        <w:rPr>
          <w:rFonts w:ascii="Calibri" w:hAnsi="Calibri" w:cs="Calibri"/>
          <w:sz w:val="22"/>
          <w:szCs w:val="22"/>
        </w:rPr>
        <w:noBreakHyphen/>
      </w:r>
      <w:r w:rsidRPr="00C20664">
        <w:rPr>
          <w:rFonts w:ascii="Calibri" w:hAnsi="Calibri" w:cs="Calibri"/>
          <w:sz w:val="22"/>
          <w:szCs w:val="22"/>
        </w:rPr>
        <w:t>basin. This database includes both the results of Local Strategy Grants and other project opportunities identified outside of a Local Strategy Grant.</w:t>
      </w:r>
    </w:p>
    <w:p w14:paraId="67C5780D" w14:textId="4B7451D1" w:rsidR="005B1DC1" w:rsidRPr="00C20664" w:rsidRDefault="00C2044E" w:rsidP="00C20664">
      <w:pPr>
        <w:pStyle w:val="BodyTextPre-list"/>
        <w:rPr>
          <w:rFonts w:ascii="Calibri" w:hAnsi="Calibri" w:cs="Calibri"/>
          <w:sz w:val="22"/>
          <w:szCs w:val="22"/>
        </w:rPr>
      </w:pPr>
      <w:r w:rsidRPr="00C20664">
        <w:rPr>
          <w:rFonts w:ascii="Calibri" w:hAnsi="Calibri" w:cs="Calibri"/>
          <w:sz w:val="22"/>
          <w:szCs w:val="22"/>
        </w:rPr>
        <w:t>ASRP sponsors who work in each sub</w:t>
      </w:r>
      <w:r w:rsidR="00E74728">
        <w:rPr>
          <w:rFonts w:ascii="Calibri" w:hAnsi="Calibri" w:cs="Calibri"/>
          <w:sz w:val="22"/>
          <w:szCs w:val="22"/>
        </w:rPr>
        <w:t>-</w:t>
      </w:r>
      <w:r w:rsidRPr="00C20664">
        <w:rPr>
          <w:rFonts w:ascii="Calibri" w:hAnsi="Calibri" w:cs="Calibri"/>
          <w:sz w:val="22"/>
          <w:szCs w:val="22"/>
        </w:rPr>
        <w:t xml:space="preserve">basin, including those who worked on the relevant </w:t>
      </w:r>
      <w:r w:rsidR="008B0973">
        <w:rPr>
          <w:rFonts w:ascii="Calibri" w:hAnsi="Calibri" w:cs="Calibri"/>
          <w:sz w:val="22"/>
          <w:szCs w:val="22"/>
        </w:rPr>
        <w:t>l</w:t>
      </w:r>
      <w:r w:rsidRPr="00C20664">
        <w:rPr>
          <w:rFonts w:ascii="Calibri" w:hAnsi="Calibri" w:cs="Calibri"/>
          <w:sz w:val="22"/>
          <w:szCs w:val="22"/>
        </w:rPr>
        <w:t xml:space="preserve">ocal </w:t>
      </w:r>
      <w:r w:rsidR="008B0973">
        <w:rPr>
          <w:rFonts w:ascii="Calibri" w:hAnsi="Calibri" w:cs="Calibri"/>
          <w:sz w:val="22"/>
          <w:szCs w:val="22"/>
        </w:rPr>
        <w:t>s</w:t>
      </w:r>
      <w:r w:rsidRPr="00C20664">
        <w:rPr>
          <w:rFonts w:ascii="Calibri" w:hAnsi="Calibri" w:cs="Calibri"/>
          <w:sz w:val="22"/>
          <w:szCs w:val="22"/>
        </w:rPr>
        <w:t xml:space="preserve">trategy(s), will meet to prioritize these project locations and actions. </w:t>
      </w:r>
      <w:r w:rsidR="005B1DC1" w:rsidRPr="00C20664">
        <w:rPr>
          <w:rFonts w:ascii="Calibri" w:hAnsi="Calibri" w:cs="Calibri"/>
          <w:sz w:val="22"/>
          <w:szCs w:val="22"/>
        </w:rPr>
        <w:t>Other interested ASRP parties, such as members of the Technical Review Team, Technical Advisory Group, or ASRP Steering Committee</w:t>
      </w:r>
      <w:r w:rsidR="008F081A">
        <w:rPr>
          <w:rFonts w:ascii="Calibri" w:hAnsi="Calibri" w:cs="Calibri"/>
          <w:sz w:val="22"/>
          <w:szCs w:val="22"/>
        </w:rPr>
        <w:t>,</w:t>
      </w:r>
      <w:r w:rsidR="005B1DC1" w:rsidRPr="00C20664">
        <w:rPr>
          <w:rFonts w:ascii="Calibri" w:hAnsi="Calibri" w:cs="Calibri"/>
          <w:sz w:val="22"/>
          <w:szCs w:val="22"/>
        </w:rPr>
        <w:t xml:space="preserve"> may also assist with this prioritization as needed. Each potential location or action will be assigned a high, medium, low, or non-priority status as follows:</w:t>
      </w:r>
    </w:p>
    <w:p w14:paraId="1D9B78DF" w14:textId="77777777" w:rsidR="005B1DC1" w:rsidRPr="00F66326" w:rsidRDefault="005B1DC1" w:rsidP="005B1DC1">
      <w:pPr>
        <w:pStyle w:val="ListBullet"/>
        <w:numPr>
          <w:ilvl w:val="0"/>
          <w:numId w:val="4"/>
        </w:numPr>
        <w:rPr>
          <w:b/>
          <w:bCs/>
        </w:rPr>
      </w:pPr>
      <w:r w:rsidRPr="00F66326">
        <w:rPr>
          <w:b/>
          <w:bCs/>
        </w:rPr>
        <w:t>High Priority</w:t>
      </w:r>
    </w:p>
    <w:p w14:paraId="7078B6EF" w14:textId="77777777" w:rsidR="005B1DC1" w:rsidRDefault="005B1DC1" w:rsidP="005B1DC1">
      <w:pPr>
        <w:pStyle w:val="ListBullet"/>
        <w:numPr>
          <w:ilvl w:val="1"/>
          <w:numId w:val="4"/>
        </w:numPr>
      </w:pPr>
      <w:r>
        <w:t>These projects meet all of the following criteria:</w:t>
      </w:r>
    </w:p>
    <w:p w14:paraId="620EEA4E" w14:textId="48738954" w:rsidR="005B1DC1" w:rsidRDefault="008955BD" w:rsidP="005B1DC1">
      <w:pPr>
        <w:pStyle w:val="ListBullet"/>
        <w:numPr>
          <w:ilvl w:val="2"/>
          <w:numId w:val="4"/>
        </w:numPr>
      </w:pPr>
      <w:r>
        <w:t>The project is</w:t>
      </w:r>
      <w:r w:rsidR="00CE1682">
        <w:t xml:space="preserve"> </w:t>
      </w:r>
      <w:r w:rsidR="005B1DC1">
        <w:t>appropriately sited, with appropriate actions identified, to address the identified limiting factors within the GSU(s) with preliminary assessments indicating the potential for significant habitat uplift</w:t>
      </w:r>
      <w:r>
        <w:t>.</w:t>
      </w:r>
    </w:p>
    <w:p w14:paraId="5E5B35B6" w14:textId="21F2FD4A" w:rsidR="00DD6EF4" w:rsidRDefault="008955BD" w:rsidP="00DD6EF4">
      <w:pPr>
        <w:pStyle w:val="ListBullet"/>
        <w:numPr>
          <w:ilvl w:val="2"/>
          <w:numId w:val="4"/>
        </w:numPr>
      </w:pPr>
      <w:r>
        <w:t>The project is</w:t>
      </w:r>
      <w:r w:rsidR="005B1DC1">
        <w:t xml:space="preserve"> ready for application for project funding within </w:t>
      </w:r>
      <w:r>
        <w:t>1</w:t>
      </w:r>
      <w:r>
        <w:t xml:space="preserve"> </w:t>
      </w:r>
      <w:r w:rsidR="005B1DC1">
        <w:t>year</w:t>
      </w:r>
      <w:r>
        <w:t>.</w:t>
      </w:r>
    </w:p>
    <w:p w14:paraId="6472A4CB" w14:textId="04C2DCEE" w:rsidR="00DD6EF4" w:rsidRDefault="005B1DC1" w:rsidP="00DD6EF4">
      <w:pPr>
        <w:pStyle w:val="ListBullet"/>
        <w:numPr>
          <w:ilvl w:val="2"/>
          <w:numId w:val="4"/>
        </w:numPr>
      </w:pPr>
      <w:r>
        <w:t>There is an identified sponsor with interest and capacity to do this project</w:t>
      </w:r>
      <w:r w:rsidR="008955BD">
        <w:t>.</w:t>
      </w:r>
    </w:p>
    <w:p w14:paraId="65DCBF4F" w14:textId="2E5DAA93" w:rsidR="005B1DC1" w:rsidRDefault="005B1DC1" w:rsidP="00DD6EF4">
      <w:pPr>
        <w:pStyle w:val="ListBullet"/>
        <w:numPr>
          <w:ilvl w:val="1"/>
          <w:numId w:val="4"/>
        </w:numPr>
      </w:pPr>
      <w:r>
        <w:t xml:space="preserve">All </w:t>
      </w:r>
      <w:r w:rsidR="008955BD">
        <w:t>h</w:t>
      </w:r>
      <w:r>
        <w:t>igh</w:t>
      </w:r>
      <w:r w:rsidR="008955BD">
        <w:t>-p</w:t>
      </w:r>
      <w:r>
        <w:t xml:space="preserve">riority projects should be matched with a sponsor organization with the expectation to apply for ASRP funding within </w:t>
      </w:r>
      <w:r w:rsidR="008955BD">
        <w:t>1</w:t>
      </w:r>
      <w:r>
        <w:t xml:space="preserve"> year</w:t>
      </w:r>
      <w:r w:rsidR="008955BD">
        <w:t>.</w:t>
      </w:r>
    </w:p>
    <w:p w14:paraId="60A42658" w14:textId="77777777" w:rsidR="005B1DC1" w:rsidRPr="00F66326" w:rsidRDefault="005B1DC1" w:rsidP="005B1DC1">
      <w:pPr>
        <w:pStyle w:val="ListBullet"/>
        <w:numPr>
          <w:ilvl w:val="0"/>
          <w:numId w:val="4"/>
        </w:numPr>
        <w:rPr>
          <w:b/>
          <w:bCs/>
        </w:rPr>
      </w:pPr>
      <w:r w:rsidRPr="00F66326">
        <w:rPr>
          <w:b/>
          <w:bCs/>
        </w:rPr>
        <w:t>Medium Priority</w:t>
      </w:r>
    </w:p>
    <w:p w14:paraId="145FE659" w14:textId="77777777" w:rsidR="005B1DC1" w:rsidRDefault="005B1DC1" w:rsidP="005B1DC1">
      <w:pPr>
        <w:pStyle w:val="ListBullet"/>
        <w:numPr>
          <w:ilvl w:val="1"/>
          <w:numId w:val="4"/>
        </w:numPr>
      </w:pPr>
      <w:r>
        <w:t>These projects meet all of the following criteria:</w:t>
      </w:r>
    </w:p>
    <w:p w14:paraId="3E1498C8" w14:textId="5A65839F" w:rsidR="005B1DC1" w:rsidRDefault="008955BD" w:rsidP="005B1DC1">
      <w:pPr>
        <w:pStyle w:val="ListBullet"/>
        <w:numPr>
          <w:ilvl w:val="2"/>
          <w:numId w:val="4"/>
        </w:numPr>
      </w:pPr>
      <w:r>
        <w:t>The project is</w:t>
      </w:r>
      <w:r w:rsidR="005B1DC1">
        <w:t xml:space="preserve"> appropriately sited, with appropriate actions identified to address the identified limiting factors within that GSU</w:t>
      </w:r>
      <w:r w:rsidR="00FE0EE8">
        <w:t>,</w:t>
      </w:r>
      <w:r w:rsidR="005B1DC1">
        <w:t xml:space="preserve"> with preliminary assessments indicating the potential for moderate to significant habitat uplift</w:t>
      </w:r>
      <w:r>
        <w:t>.</w:t>
      </w:r>
    </w:p>
    <w:p w14:paraId="37361031" w14:textId="05FFA63F" w:rsidR="005B1DC1" w:rsidRDefault="008955BD" w:rsidP="005B1DC1">
      <w:pPr>
        <w:pStyle w:val="ListBullet"/>
        <w:numPr>
          <w:ilvl w:val="2"/>
          <w:numId w:val="4"/>
        </w:numPr>
      </w:pPr>
      <w:r>
        <w:t>The project is</w:t>
      </w:r>
      <w:r w:rsidR="005B1DC1">
        <w:t xml:space="preserve"> ready for application for project funding within </w:t>
      </w:r>
      <w:r>
        <w:t>1</w:t>
      </w:r>
      <w:r>
        <w:t xml:space="preserve"> </w:t>
      </w:r>
      <w:r w:rsidR="005B1DC1">
        <w:t xml:space="preserve">to </w:t>
      </w:r>
      <w:r>
        <w:t>2</w:t>
      </w:r>
      <w:r>
        <w:t xml:space="preserve"> </w:t>
      </w:r>
      <w:r w:rsidR="005B1DC1">
        <w:t>years</w:t>
      </w:r>
      <w:r>
        <w:t>.</w:t>
      </w:r>
    </w:p>
    <w:p w14:paraId="3017F1FB" w14:textId="231DEFBC" w:rsidR="005B1DC1" w:rsidRDefault="00CE1682" w:rsidP="005B1DC1">
      <w:pPr>
        <w:pStyle w:val="ListBullet"/>
        <w:numPr>
          <w:ilvl w:val="2"/>
          <w:numId w:val="4"/>
        </w:numPr>
      </w:pPr>
      <w:r>
        <w:t xml:space="preserve">There </w:t>
      </w:r>
      <w:r w:rsidR="005B1DC1">
        <w:t xml:space="preserve">is </w:t>
      </w:r>
      <w:r w:rsidR="005B1DC1" w:rsidRPr="00C20664">
        <w:rPr>
          <w:b/>
          <w:bCs/>
        </w:rPr>
        <w:t>not</w:t>
      </w:r>
      <w:r w:rsidR="005B1DC1">
        <w:t xml:space="preserve"> sufficient sponsor capacity within the ASRP RIT to do this project in addition to </w:t>
      </w:r>
      <w:proofErr w:type="gramStart"/>
      <w:r w:rsidR="005B1DC1">
        <w:t>all of</w:t>
      </w:r>
      <w:proofErr w:type="gramEnd"/>
      <w:r w:rsidR="005B1DC1">
        <w:t xml:space="preserve"> the </w:t>
      </w:r>
      <w:r w:rsidR="008955BD">
        <w:t>h</w:t>
      </w:r>
      <w:r w:rsidR="005B1DC1">
        <w:t>igh</w:t>
      </w:r>
      <w:r w:rsidR="008955BD">
        <w:t>-p</w:t>
      </w:r>
      <w:r w:rsidR="005B1DC1">
        <w:t>riority projects</w:t>
      </w:r>
      <w:r w:rsidR="008955BD">
        <w:t>.</w:t>
      </w:r>
    </w:p>
    <w:p w14:paraId="21AAFD48" w14:textId="6332EC2C" w:rsidR="005B1DC1" w:rsidRDefault="005B1DC1" w:rsidP="005B1DC1">
      <w:pPr>
        <w:pStyle w:val="ListBullet"/>
        <w:numPr>
          <w:ilvl w:val="1"/>
          <w:numId w:val="4"/>
        </w:numPr>
      </w:pPr>
      <w:r>
        <w:t xml:space="preserve">As </w:t>
      </w:r>
      <w:r w:rsidR="008955BD">
        <w:t>h</w:t>
      </w:r>
      <w:r>
        <w:t>igh</w:t>
      </w:r>
      <w:r w:rsidR="008955BD">
        <w:t>-p</w:t>
      </w:r>
      <w:r>
        <w:t xml:space="preserve">riority projects are completed or sponsor capacity changes, </w:t>
      </w:r>
      <w:r w:rsidR="008955BD">
        <w:t>m</w:t>
      </w:r>
      <w:r>
        <w:t>edium</w:t>
      </w:r>
      <w:r w:rsidR="008955BD">
        <w:t>-p</w:t>
      </w:r>
      <w:r>
        <w:t xml:space="preserve">riority projects can be re-evaluated to become </w:t>
      </w:r>
      <w:r w:rsidR="008955BD">
        <w:t>h</w:t>
      </w:r>
      <w:r>
        <w:t>igh-</w:t>
      </w:r>
      <w:r w:rsidR="008955BD">
        <w:t>p</w:t>
      </w:r>
      <w:r>
        <w:t xml:space="preserve">riority </w:t>
      </w:r>
      <w:r w:rsidR="008955BD">
        <w:t>p</w:t>
      </w:r>
      <w:r>
        <w:t>rojects</w:t>
      </w:r>
      <w:r w:rsidR="008955BD">
        <w:t>.</w:t>
      </w:r>
    </w:p>
    <w:p w14:paraId="37C3777E" w14:textId="651413FC" w:rsidR="005B1DC1" w:rsidRDefault="005B1DC1" w:rsidP="005B1DC1">
      <w:pPr>
        <w:pStyle w:val="ListBullet"/>
        <w:numPr>
          <w:ilvl w:val="1"/>
          <w:numId w:val="4"/>
        </w:numPr>
      </w:pPr>
      <w:r>
        <w:t>Medium</w:t>
      </w:r>
      <w:r w:rsidR="008955BD">
        <w:t>-p</w:t>
      </w:r>
      <w:r>
        <w:t>riority projects can also be good candidates for receiving non-ASRP grants</w:t>
      </w:r>
      <w:r w:rsidR="008955BD">
        <w:t>.</w:t>
      </w:r>
    </w:p>
    <w:p w14:paraId="60CBE96C" w14:textId="77777777" w:rsidR="005B1DC1" w:rsidRPr="00F66326" w:rsidRDefault="005B1DC1" w:rsidP="005B1DC1">
      <w:pPr>
        <w:pStyle w:val="ListBullet"/>
        <w:numPr>
          <w:ilvl w:val="0"/>
          <w:numId w:val="4"/>
        </w:numPr>
        <w:rPr>
          <w:b/>
          <w:bCs/>
        </w:rPr>
      </w:pPr>
      <w:r w:rsidRPr="00F66326">
        <w:rPr>
          <w:b/>
          <w:bCs/>
        </w:rPr>
        <w:t>Low Priority</w:t>
      </w:r>
    </w:p>
    <w:p w14:paraId="09C6CD79" w14:textId="77777777" w:rsidR="005B1DC1" w:rsidRDefault="005B1DC1" w:rsidP="005B1DC1">
      <w:pPr>
        <w:pStyle w:val="ListBullet"/>
        <w:numPr>
          <w:ilvl w:val="1"/>
          <w:numId w:val="4"/>
        </w:numPr>
      </w:pPr>
      <w:r>
        <w:t>These projects meet all of the following criteria:</w:t>
      </w:r>
    </w:p>
    <w:p w14:paraId="2AC54A63" w14:textId="5D1AAA2D" w:rsidR="005B1DC1" w:rsidRDefault="008955BD" w:rsidP="005B1DC1">
      <w:pPr>
        <w:pStyle w:val="ListBullet"/>
        <w:numPr>
          <w:ilvl w:val="2"/>
          <w:numId w:val="4"/>
        </w:numPr>
      </w:pPr>
      <w:r>
        <w:t>The project is</w:t>
      </w:r>
      <w:r w:rsidR="005B1DC1">
        <w:t xml:space="preserve"> appropriately sited</w:t>
      </w:r>
      <w:r>
        <w:t>,</w:t>
      </w:r>
      <w:r w:rsidR="005B1DC1">
        <w:t xml:space="preserve"> </w:t>
      </w:r>
      <w:r>
        <w:t>with</w:t>
      </w:r>
      <w:r w:rsidR="005B1DC1">
        <w:t xml:space="preserve"> appropriate actions identified to address the identified limiting factors within that GSU</w:t>
      </w:r>
      <w:r>
        <w:t>.</w:t>
      </w:r>
    </w:p>
    <w:p w14:paraId="6DC390FA" w14:textId="7BFF74E7" w:rsidR="005B1DC1" w:rsidRDefault="008955BD" w:rsidP="005B1DC1">
      <w:pPr>
        <w:pStyle w:val="ListBullet"/>
        <w:numPr>
          <w:ilvl w:val="2"/>
          <w:numId w:val="4"/>
        </w:numPr>
      </w:pPr>
      <w:r>
        <w:t>The project is</w:t>
      </w:r>
      <w:r w:rsidR="00CE1682">
        <w:t xml:space="preserve"> </w:t>
      </w:r>
      <w:r w:rsidR="005B1DC1">
        <w:t xml:space="preserve">not ready for project funding application within </w:t>
      </w:r>
      <w:r>
        <w:t>2</w:t>
      </w:r>
      <w:r>
        <w:t xml:space="preserve"> </w:t>
      </w:r>
      <w:r w:rsidR="005B1DC1">
        <w:t>years</w:t>
      </w:r>
      <w:r>
        <w:t>.</w:t>
      </w:r>
    </w:p>
    <w:p w14:paraId="029DBEEF" w14:textId="1D384F67" w:rsidR="005B1DC1" w:rsidRDefault="005B1DC1" w:rsidP="005B1DC1">
      <w:pPr>
        <w:pStyle w:val="ListBullet"/>
        <w:numPr>
          <w:ilvl w:val="1"/>
          <w:numId w:val="4"/>
        </w:numPr>
      </w:pPr>
      <w:r>
        <w:lastRenderedPageBreak/>
        <w:t>Low</w:t>
      </w:r>
      <w:r w:rsidR="008955BD">
        <w:t>-p</w:t>
      </w:r>
      <w:r>
        <w:t xml:space="preserve">riority projects can become </w:t>
      </w:r>
      <w:r w:rsidR="008955BD">
        <w:t>m</w:t>
      </w:r>
      <w:r>
        <w:t>edium</w:t>
      </w:r>
      <w:r w:rsidR="008955BD">
        <w:t>-</w:t>
      </w:r>
      <w:r>
        <w:t xml:space="preserve"> or </w:t>
      </w:r>
      <w:r w:rsidR="008955BD">
        <w:t>h</w:t>
      </w:r>
      <w:r>
        <w:t>igh</w:t>
      </w:r>
      <w:r w:rsidR="008955BD">
        <w:t>-</w:t>
      </w:r>
      <w:r>
        <w:t xml:space="preserve">priority projects through additional project development, such as </w:t>
      </w:r>
      <w:r w:rsidR="008955BD">
        <w:t xml:space="preserve">what </w:t>
      </w:r>
      <w:r>
        <w:t xml:space="preserve">would be obtained through a Project Initialization </w:t>
      </w:r>
      <w:r w:rsidR="008955BD">
        <w:t>G</w:t>
      </w:r>
      <w:r>
        <w:t>rant</w:t>
      </w:r>
      <w:r w:rsidR="008955BD">
        <w:t>.</w:t>
      </w:r>
      <w:r>
        <w:t xml:space="preserve"> </w:t>
      </w:r>
    </w:p>
    <w:p w14:paraId="78B290E4" w14:textId="77777777" w:rsidR="005B1DC1" w:rsidRDefault="005B1DC1" w:rsidP="005B1DC1">
      <w:pPr>
        <w:pStyle w:val="ListBullet"/>
        <w:numPr>
          <w:ilvl w:val="0"/>
          <w:numId w:val="4"/>
        </w:numPr>
        <w:rPr>
          <w:b/>
          <w:bCs/>
        </w:rPr>
      </w:pPr>
      <w:r w:rsidRPr="00F66326">
        <w:rPr>
          <w:b/>
          <w:bCs/>
        </w:rPr>
        <w:t>Non-Priority</w:t>
      </w:r>
    </w:p>
    <w:p w14:paraId="756D7243" w14:textId="77777777" w:rsidR="005B1DC1" w:rsidRDefault="005B1DC1" w:rsidP="005B1DC1">
      <w:pPr>
        <w:pStyle w:val="ListBullet"/>
        <w:numPr>
          <w:ilvl w:val="1"/>
          <w:numId w:val="4"/>
        </w:numPr>
        <w:rPr>
          <w:b/>
          <w:bCs/>
        </w:rPr>
      </w:pPr>
      <w:r>
        <w:t xml:space="preserve">Non-priority projects do not address limiting factors within the GSU and do not merit further development from ASRP sponsor organizations regardless of capacity. </w:t>
      </w:r>
    </w:p>
    <w:p w14:paraId="02C579CB" w14:textId="77777777" w:rsidR="005B1DC1" w:rsidRPr="00183A6D" w:rsidRDefault="005B1DC1" w:rsidP="005B1DC1">
      <w:pPr>
        <w:pStyle w:val="ListBullet"/>
        <w:numPr>
          <w:ilvl w:val="1"/>
          <w:numId w:val="4"/>
        </w:numPr>
        <w:rPr>
          <w:b/>
          <w:bCs/>
        </w:rPr>
      </w:pPr>
      <w:r>
        <w:t xml:space="preserve">It would be more effective to reach out to additional landowners rather than to continue development on non-priority sites. </w:t>
      </w:r>
    </w:p>
    <w:p w14:paraId="6CDE0130" w14:textId="144AD24D" w:rsidR="005B1DC1" w:rsidRDefault="005B1DC1" w:rsidP="005B1DC1">
      <w:pPr>
        <w:pStyle w:val="ListBullet"/>
        <w:numPr>
          <w:ilvl w:val="1"/>
          <w:numId w:val="4"/>
        </w:numPr>
      </w:pPr>
      <w:r>
        <w:t>Non-</w:t>
      </w:r>
      <w:r w:rsidR="008955BD">
        <w:t>p</w:t>
      </w:r>
      <w:r>
        <w:t>riority projects may be good candidates for receiving non-ASRP funds</w:t>
      </w:r>
      <w:r w:rsidR="00625AB8">
        <w:t>.</w:t>
      </w:r>
    </w:p>
    <w:p w14:paraId="419A59A0" w14:textId="6627B3EC" w:rsidR="005B1DC1" w:rsidRPr="00C20664" w:rsidRDefault="005B1DC1" w:rsidP="00C20664">
      <w:pPr>
        <w:pStyle w:val="BodyText"/>
        <w:spacing w:before="320"/>
        <w:rPr>
          <w:rFonts w:ascii="Calibri" w:hAnsi="Calibri" w:cs="Calibri"/>
          <w:sz w:val="22"/>
          <w:szCs w:val="22"/>
        </w:rPr>
      </w:pPr>
      <w:r w:rsidRPr="00C20664">
        <w:rPr>
          <w:rFonts w:ascii="Calibri" w:hAnsi="Calibri" w:cs="Calibri"/>
          <w:sz w:val="22"/>
          <w:szCs w:val="22"/>
        </w:rPr>
        <w:t>It’s possible that a Local Strategy Grant might generate all high-priority opportunities or any combination of high</w:t>
      </w:r>
      <w:r w:rsidR="00293539">
        <w:rPr>
          <w:rFonts w:ascii="Calibri" w:hAnsi="Calibri" w:cs="Calibri"/>
          <w:sz w:val="22"/>
          <w:szCs w:val="22"/>
        </w:rPr>
        <w:t>-</w:t>
      </w:r>
      <w:r w:rsidRPr="00C20664">
        <w:rPr>
          <w:rFonts w:ascii="Calibri" w:hAnsi="Calibri" w:cs="Calibri"/>
          <w:sz w:val="22"/>
          <w:szCs w:val="22"/>
        </w:rPr>
        <w:t>, medium</w:t>
      </w:r>
      <w:r w:rsidR="00293539">
        <w:rPr>
          <w:rFonts w:ascii="Calibri" w:hAnsi="Calibri" w:cs="Calibri"/>
          <w:sz w:val="22"/>
          <w:szCs w:val="22"/>
        </w:rPr>
        <w:t>-</w:t>
      </w:r>
      <w:r w:rsidRPr="00C20664">
        <w:rPr>
          <w:rFonts w:ascii="Calibri" w:hAnsi="Calibri" w:cs="Calibri"/>
          <w:sz w:val="22"/>
          <w:szCs w:val="22"/>
        </w:rPr>
        <w:t>, and low</w:t>
      </w:r>
      <w:r w:rsidR="00293539">
        <w:rPr>
          <w:rFonts w:ascii="Calibri" w:hAnsi="Calibri" w:cs="Calibri"/>
          <w:sz w:val="22"/>
          <w:szCs w:val="22"/>
        </w:rPr>
        <w:t>-</w:t>
      </w:r>
      <w:r w:rsidR="000B298A" w:rsidRPr="00C20664">
        <w:rPr>
          <w:rFonts w:ascii="Calibri" w:hAnsi="Calibri" w:cs="Calibri"/>
          <w:sz w:val="22"/>
          <w:szCs w:val="22"/>
        </w:rPr>
        <w:t>priority opportunities</w:t>
      </w:r>
      <w:r w:rsidRPr="00C20664">
        <w:rPr>
          <w:rFonts w:ascii="Calibri" w:hAnsi="Calibri" w:cs="Calibri"/>
          <w:sz w:val="22"/>
          <w:szCs w:val="22"/>
        </w:rPr>
        <w:t>. Prioritization incorporates not just relative project merit as determined by habitat uplift potential but also program-wide sponsor capacity and implementation feasibili</w:t>
      </w:r>
      <w:r w:rsidR="009C4D9B" w:rsidRPr="00C20664">
        <w:rPr>
          <w:rFonts w:ascii="Calibri" w:hAnsi="Calibri" w:cs="Calibri"/>
          <w:sz w:val="22"/>
          <w:szCs w:val="22"/>
        </w:rPr>
        <w:t>ty</w:t>
      </w:r>
      <w:r w:rsidR="00FE0EE8" w:rsidRPr="00C20664">
        <w:rPr>
          <w:rFonts w:ascii="Calibri" w:hAnsi="Calibri" w:cs="Calibri"/>
          <w:sz w:val="22"/>
          <w:szCs w:val="22"/>
        </w:rPr>
        <w:t>.</w:t>
      </w:r>
    </w:p>
    <w:sectPr w:rsidR="005B1DC1" w:rsidRPr="00C20664" w:rsidSect="008439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0B24" w14:textId="77777777" w:rsidR="00D54ED1" w:rsidRDefault="00D54ED1" w:rsidP="0056473D">
      <w:pPr>
        <w:spacing w:after="0" w:line="240" w:lineRule="auto"/>
      </w:pPr>
      <w:r>
        <w:separator/>
      </w:r>
    </w:p>
  </w:endnote>
  <w:endnote w:type="continuationSeparator" w:id="0">
    <w:p w14:paraId="612CAE7A" w14:textId="77777777" w:rsidR="00D54ED1" w:rsidRDefault="00D54ED1" w:rsidP="0056473D">
      <w:pPr>
        <w:spacing w:after="0" w:line="240" w:lineRule="auto"/>
      </w:pPr>
      <w:r>
        <w:continuationSeparator/>
      </w:r>
    </w:p>
  </w:endnote>
  <w:endnote w:type="continuationNotice" w:id="1">
    <w:p w14:paraId="318B30F4" w14:textId="77777777" w:rsidR="00D54ED1" w:rsidRDefault="00D54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630F" w14:textId="77777777" w:rsidR="0056473D" w:rsidRDefault="0056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9362" w14:textId="77777777" w:rsidR="0056473D" w:rsidRDefault="00564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CE24" w14:textId="77777777" w:rsidR="0056473D" w:rsidRDefault="0056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5063" w14:textId="77777777" w:rsidR="00D54ED1" w:rsidRDefault="00D54ED1" w:rsidP="0056473D">
      <w:pPr>
        <w:spacing w:after="0" w:line="240" w:lineRule="auto"/>
      </w:pPr>
      <w:r>
        <w:separator/>
      </w:r>
    </w:p>
  </w:footnote>
  <w:footnote w:type="continuationSeparator" w:id="0">
    <w:p w14:paraId="6F588BCD" w14:textId="77777777" w:rsidR="00D54ED1" w:rsidRDefault="00D54ED1" w:rsidP="0056473D">
      <w:pPr>
        <w:spacing w:after="0" w:line="240" w:lineRule="auto"/>
      </w:pPr>
      <w:r>
        <w:continuationSeparator/>
      </w:r>
    </w:p>
  </w:footnote>
  <w:footnote w:type="continuationNotice" w:id="1">
    <w:p w14:paraId="778B18DF" w14:textId="77777777" w:rsidR="00D54ED1" w:rsidRDefault="00D54E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1076" w14:textId="77777777" w:rsidR="0056473D" w:rsidRDefault="00564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CE5A" w14:textId="77777777" w:rsidR="0056473D" w:rsidRDefault="00564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E134" w14:textId="77777777" w:rsidR="0056473D" w:rsidRDefault="00564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2A42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C462C3"/>
    <w:multiLevelType w:val="multilevel"/>
    <w:tmpl w:val="35E63F16"/>
    <w:lvl w:ilvl="0">
      <w:start w:val="1"/>
      <w:numFmt w:val="bullet"/>
      <w:pStyle w:val="ListBullet0"/>
      <w:lvlText w:val=""/>
      <w:lvlJc w:val="left"/>
      <w:pPr>
        <w:ind w:left="648" w:hanging="360"/>
      </w:pPr>
      <w:rPr>
        <w:rFonts w:ascii="Symbol" w:hAnsi="Symbol" w:hint="default"/>
      </w:rPr>
    </w:lvl>
    <w:lvl w:ilvl="1">
      <w:start w:val="1"/>
      <w:numFmt w:val="bullet"/>
      <w:lvlText w:val="‒"/>
      <w:lvlJc w:val="left"/>
      <w:pPr>
        <w:ind w:left="1224" w:hanging="360"/>
      </w:pPr>
      <w:rPr>
        <w:rFonts w:ascii="Segoe UI" w:hAnsi="Segoe UI"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376" w:hanging="360"/>
      </w:pPr>
      <w:rPr>
        <w:rFonts w:ascii="Segoe UI" w:hAnsi="Segoe UI" w:hint="default"/>
      </w:rPr>
    </w:lvl>
    <w:lvl w:ilvl="4">
      <w:start w:val="1"/>
      <w:numFmt w:val="bullet"/>
      <w:lvlText w:val=""/>
      <w:lvlJc w:val="left"/>
      <w:pPr>
        <w:ind w:left="2952" w:hanging="360"/>
      </w:pPr>
      <w:rPr>
        <w:rFonts w:ascii="Symbol" w:hAnsi="Symbol" w:hint="default"/>
      </w:rPr>
    </w:lvl>
    <w:lvl w:ilvl="5">
      <w:start w:val="1"/>
      <w:numFmt w:val="bullet"/>
      <w:lvlText w:val="‒"/>
      <w:lvlJc w:val="left"/>
      <w:pPr>
        <w:ind w:left="3528" w:hanging="360"/>
      </w:pPr>
      <w:rPr>
        <w:rFonts w:ascii="Segoe UI" w:hAnsi="Segoe UI" w:hint="default"/>
      </w:rPr>
    </w:lvl>
    <w:lvl w:ilvl="6">
      <w:start w:val="1"/>
      <w:numFmt w:val="bullet"/>
      <w:lvlText w:val=""/>
      <w:lvlJc w:val="left"/>
      <w:pPr>
        <w:ind w:left="4104"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256" w:hanging="360"/>
      </w:pPr>
      <w:rPr>
        <w:rFonts w:ascii="Wingdings" w:hAnsi="Wingdings" w:hint="default"/>
      </w:rPr>
    </w:lvl>
  </w:abstractNum>
  <w:abstractNum w:abstractNumId="2" w15:restartNumberingAfterBreak="0">
    <w:nsid w:val="1FD8638B"/>
    <w:multiLevelType w:val="hybridMultilevel"/>
    <w:tmpl w:val="226E3C02"/>
    <w:lvl w:ilvl="0" w:tplc="610A4A90">
      <w:start w:val="1"/>
      <w:numFmt w:val="bullet"/>
      <w:lvlText w:val="•"/>
      <w:lvlJc w:val="left"/>
      <w:pPr>
        <w:tabs>
          <w:tab w:val="num" w:pos="720"/>
        </w:tabs>
        <w:ind w:left="720" w:hanging="360"/>
      </w:pPr>
      <w:rPr>
        <w:rFonts w:ascii="Arial" w:hAnsi="Arial" w:hint="default"/>
      </w:rPr>
    </w:lvl>
    <w:lvl w:ilvl="1" w:tplc="ED00CD56" w:tentative="1">
      <w:start w:val="1"/>
      <w:numFmt w:val="bullet"/>
      <w:lvlText w:val="•"/>
      <w:lvlJc w:val="left"/>
      <w:pPr>
        <w:tabs>
          <w:tab w:val="num" w:pos="1440"/>
        </w:tabs>
        <w:ind w:left="1440" w:hanging="360"/>
      </w:pPr>
      <w:rPr>
        <w:rFonts w:ascii="Arial" w:hAnsi="Arial" w:hint="default"/>
      </w:rPr>
    </w:lvl>
    <w:lvl w:ilvl="2" w:tplc="EFEAA066" w:tentative="1">
      <w:start w:val="1"/>
      <w:numFmt w:val="bullet"/>
      <w:lvlText w:val="•"/>
      <w:lvlJc w:val="left"/>
      <w:pPr>
        <w:tabs>
          <w:tab w:val="num" w:pos="2160"/>
        </w:tabs>
        <w:ind w:left="2160" w:hanging="360"/>
      </w:pPr>
      <w:rPr>
        <w:rFonts w:ascii="Arial" w:hAnsi="Arial" w:hint="default"/>
      </w:rPr>
    </w:lvl>
    <w:lvl w:ilvl="3" w:tplc="066A829A" w:tentative="1">
      <w:start w:val="1"/>
      <w:numFmt w:val="bullet"/>
      <w:lvlText w:val="•"/>
      <w:lvlJc w:val="left"/>
      <w:pPr>
        <w:tabs>
          <w:tab w:val="num" w:pos="2880"/>
        </w:tabs>
        <w:ind w:left="2880" w:hanging="360"/>
      </w:pPr>
      <w:rPr>
        <w:rFonts w:ascii="Arial" w:hAnsi="Arial" w:hint="default"/>
      </w:rPr>
    </w:lvl>
    <w:lvl w:ilvl="4" w:tplc="E67A8796" w:tentative="1">
      <w:start w:val="1"/>
      <w:numFmt w:val="bullet"/>
      <w:lvlText w:val="•"/>
      <w:lvlJc w:val="left"/>
      <w:pPr>
        <w:tabs>
          <w:tab w:val="num" w:pos="3600"/>
        </w:tabs>
        <w:ind w:left="3600" w:hanging="360"/>
      </w:pPr>
      <w:rPr>
        <w:rFonts w:ascii="Arial" w:hAnsi="Arial" w:hint="default"/>
      </w:rPr>
    </w:lvl>
    <w:lvl w:ilvl="5" w:tplc="24786746" w:tentative="1">
      <w:start w:val="1"/>
      <w:numFmt w:val="bullet"/>
      <w:lvlText w:val="•"/>
      <w:lvlJc w:val="left"/>
      <w:pPr>
        <w:tabs>
          <w:tab w:val="num" w:pos="4320"/>
        </w:tabs>
        <w:ind w:left="4320" w:hanging="360"/>
      </w:pPr>
      <w:rPr>
        <w:rFonts w:ascii="Arial" w:hAnsi="Arial" w:hint="default"/>
      </w:rPr>
    </w:lvl>
    <w:lvl w:ilvl="6" w:tplc="72A2350E" w:tentative="1">
      <w:start w:val="1"/>
      <w:numFmt w:val="bullet"/>
      <w:lvlText w:val="•"/>
      <w:lvlJc w:val="left"/>
      <w:pPr>
        <w:tabs>
          <w:tab w:val="num" w:pos="5040"/>
        </w:tabs>
        <w:ind w:left="5040" w:hanging="360"/>
      </w:pPr>
      <w:rPr>
        <w:rFonts w:ascii="Arial" w:hAnsi="Arial" w:hint="default"/>
      </w:rPr>
    </w:lvl>
    <w:lvl w:ilvl="7" w:tplc="A49EB144" w:tentative="1">
      <w:start w:val="1"/>
      <w:numFmt w:val="bullet"/>
      <w:lvlText w:val="•"/>
      <w:lvlJc w:val="left"/>
      <w:pPr>
        <w:tabs>
          <w:tab w:val="num" w:pos="5760"/>
        </w:tabs>
        <w:ind w:left="5760" w:hanging="360"/>
      </w:pPr>
      <w:rPr>
        <w:rFonts w:ascii="Arial" w:hAnsi="Arial" w:hint="default"/>
      </w:rPr>
    </w:lvl>
    <w:lvl w:ilvl="8" w:tplc="1A44F9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1E57BE"/>
    <w:multiLevelType w:val="hybridMultilevel"/>
    <w:tmpl w:val="A12E0850"/>
    <w:lvl w:ilvl="0" w:tplc="3196AF86">
      <w:start w:val="1"/>
      <w:numFmt w:val="bullet"/>
      <w:lvlText w:val=""/>
      <w:lvlJc w:val="left"/>
      <w:pPr>
        <w:ind w:left="720" w:hanging="360"/>
      </w:pPr>
      <w:rPr>
        <w:rFonts w:ascii="Symbol" w:hAnsi="Symbol"/>
      </w:rPr>
    </w:lvl>
    <w:lvl w:ilvl="1" w:tplc="21868B20">
      <w:start w:val="1"/>
      <w:numFmt w:val="bullet"/>
      <w:lvlText w:val=""/>
      <w:lvlJc w:val="left"/>
      <w:pPr>
        <w:ind w:left="720" w:hanging="360"/>
      </w:pPr>
      <w:rPr>
        <w:rFonts w:ascii="Symbol" w:hAnsi="Symbol"/>
      </w:rPr>
    </w:lvl>
    <w:lvl w:ilvl="2" w:tplc="B9AEFB1E">
      <w:start w:val="1"/>
      <w:numFmt w:val="bullet"/>
      <w:lvlText w:val=""/>
      <w:lvlJc w:val="left"/>
      <w:pPr>
        <w:ind w:left="720" w:hanging="360"/>
      </w:pPr>
      <w:rPr>
        <w:rFonts w:ascii="Symbol" w:hAnsi="Symbol"/>
      </w:rPr>
    </w:lvl>
    <w:lvl w:ilvl="3" w:tplc="6E0AED80">
      <w:start w:val="1"/>
      <w:numFmt w:val="bullet"/>
      <w:lvlText w:val=""/>
      <w:lvlJc w:val="left"/>
      <w:pPr>
        <w:ind w:left="720" w:hanging="360"/>
      </w:pPr>
      <w:rPr>
        <w:rFonts w:ascii="Symbol" w:hAnsi="Symbol"/>
      </w:rPr>
    </w:lvl>
    <w:lvl w:ilvl="4" w:tplc="05922B50">
      <w:start w:val="1"/>
      <w:numFmt w:val="bullet"/>
      <w:lvlText w:val=""/>
      <w:lvlJc w:val="left"/>
      <w:pPr>
        <w:ind w:left="720" w:hanging="360"/>
      </w:pPr>
      <w:rPr>
        <w:rFonts w:ascii="Symbol" w:hAnsi="Symbol"/>
      </w:rPr>
    </w:lvl>
    <w:lvl w:ilvl="5" w:tplc="E5AA5906">
      <w:start w:val="1"/>
      <w:numFmt w:val="bullet"/>
      <w:lvlText w:val=""/>
      <w:lvlJc w:val="left"/>
      <w:pPr>
        <w:ind w:left="720" w:hanging="360"/>
      </w:pPr>
      <w:rPr>
        <w:rFonts w:ascii="Symbol" w:hAnsi="Symbol"/>
      </w:rPr>
    </w:lvl>
    <w:lvl w:ilvl="6" w:tplc="C114AB42">
      <w:start w:val="1"/>
      <w:numFmt w:val="bullet"/>
      <w:lvlText w:val=""/>
      <w:lvlJc w:val="left"/>
      <w:pPr>
        <w:ind w:left="720" w:hanging="360"/>
      </w:pPr>
      <w:rPr>
        <w:rFonts w:ascii="Symbol" w:hAnsi="Symbol"/>
      </w:rPr>
    </w:lvl>
    <w:lvl w:ilvl="7" w:tplc="9C943FCC">
      <w:start w:val="1"/>
      <w:numFmt w:val="bullet"/>
      <w:lvlText w:val=""/>
      <w:lvlJc w:val="left"/>
      <w:pPr>
        <w:ind w:left="720" w:hanging="360"/>
      </w:pPr>
      <w:rPr>
        <w:rFonts w:ascii="Symbol" w:hAnsi="Symbol"/>
      </w:rPr>
    </w:lvl>
    <w:lvl w:ilvl="8" w:tplc="F88EF6DA">
      <w:start w:val="1"/>
      <w:numFmt w:val="bullet"/>
      <w:lvlText w:val=""/>
      <w:lvlJc w:val="left"/>
      <w:pPr>
        <w:ind w:left="720" w:hanging="360"/>
      </w:pPr>
      <w:rPr>
        <w:rFonts w:ascii="Symbol" w:hAnsi="Symbol"/>
      </w:rPr>
    </w:lvl>
  </w:abstractNum>
  <w:abstractNum w:abstractNumId="4" w15:restartNumberingAfterBreak="0">
    <w:nsid w:val="35F37919"/>
    <w:multiLevelType w:val="multilevel"/>
    <w:tmpl w:val="5F6C0DA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A037149"/>
    <w:multiLevelType w:val="hybridMultilevel"/>
    <w:tmpl w:val="98D4A8BC"/>
    <w:lvl w:ilvl="0" w:tplc="C520EFBA">
      <w:start w:val="1"/>
      <w:numFmt w:val="bullet"/>
      <w:lvlText w:val="•"/>
      <w:lvlJc w:val="left"/>
      <w:pPr>
        <w:tabs>
          <w:tab w:val="num" w:pos="720"/>
        </w:tabs>
        <w:ind w:left="720" w:hanging="360"/>
      </w:pPr>
      <w:rPr>
        <w:rFonts w:ascii="Arial" w:hAnsi="Arial" w:hint="default"/>
      </w:rPr>
    </w:lvl>
    <w:lvl w:ilvl="1" w:tplc="682E1C10" w:tentative="1">
      <w:start w:val="1"/>
      <w:numFmt w:val="bullet"/>
      <w:lvlText w:val="•"/>
      <w:lvlJc w:val="left"/>
      <w:pPr>
        <w:tabs>
          <w:tab w:val="num" w:pos="1440"/>
        </w:tabs>
        <w:ind w:left="1440" w:hanging="360"/>
      </w:pPr>
      <w:rPr>
        <w:rFonts w:ascii="Arial" w:hAnsi="Arial" w:hint="default"/>
      </w:rPr>
    </w:lvl>
    <w:lvl w:ilvl="2" w:tplc="D996DBA2" w:tentative="1">
      <w:start w:val="1"/>
      <w:numFmt w:val="bullet"/>
      <w:lvlText w:val="•"/>
      <w:lvlJc w:val="left"/>
      <w:pPr>
        <w:tabs>
          <w:tab w:val="num" w:pos="2160"/>
        </w:tabs>
        <w:ind w:left="2160" w:hanging="360"/>
      </w:pPr>
      <w:rPr>
        <w:rFonts w:ascii="Arial" w:hAnsi="Arial" w:hint="default"/>
      </w:rPr>
    </w:lvl>
    <w:lvl w:ilvl="3" w:tplc="6068FE7E" w:tentative="1">
      <w:start w:val="1"/>
      <w:numFmt w:val="bullet"/>
      <w:lvlText w:val="•"/>
      <w:lvlJc w:val="left"/>
      <w:pPr>
        <w:tabs>
          <w:tab w:val="num" w:pos="2880"/>
        </w:tabs>
        <w:ind w:left="2880" w:hanging="360"/>
      </w:pPr>
      <w:rPr>
        <w:rFonts w:ascii="Arial" w:hAnsi="Arial" w:hint="default"/>
      </w:rPr>
    </w:lvl>
    <w:lvl w:ilvl="4" w:tplc="AA3C405C" w:tentative="1">
      <w:start w:val="1"/>
      <w:numFmt w:val="bullet"/>
      <w:lvlText w:val="•"/>
      <w:lvlJc w:val="left"/>
      <w:pPr>
        <w:tabs>
          <w:tab w:val="num" w:pos="3600"/>
        </w:tabs>
        <w:ind w:left="3600" w:hanging="360"/>
      </w:pPr>
      <w:rPr>
        <w:rFonts w:ascii="Arial" w:hAnsi="Arial" w:hint="default"/>
      </w:rPr>
    </w:lvl>
    <w:lvl w:ilvl="5" w:tplc="60DC5330" w:tentative="1">
      <w:start w:val="1"/>
      <w:numFmt w:val="bullet"/>
      <w:lvlText w:val="•"/>
      <w:lvlJc w:val="left"/>
      <w:pPr>
        <w:tabs>
          <w:tab w:val="num" w:pos="4320"/>
        </w:tabs>
        <w:ind w:left="4320" w:hanging="360"/>
      </w:pPr>
      <w:rPr>
        <w:rFonts w:ascii="Arial" w:hAnsi="Arial" w:hint="default"/>
      </w:rPr>
    </w:lvl>
    <w:lvl w:ilvl="6" w:tplc="AA26F704" w:tentative="1">
      <w:start w:val="1"/>
      <w:numFmt w:val="bullet"/>
      <w:lvlText w:val="•"/>
      <w:lvlJc w:val="left"/>
      <w:pPr>
        <w:tabs>
          <w:tab w:val="num" w:pos="5040"/>
        </w:tabs>
        <w:ind w:left="5040" w:hanging="360"/>
      </w:pPr>
      <w:rPr>
        <w:rFonts w:ascii="Arial" w:hAnsi="Arial" w:hint="default"/>
      </w:rPr>
    </w:lvl>
    <w:lvl w:ilvl="7" w:tplc="DDD836FA" w:tentative="1">
      <w:start w:val="1"/>
      <w:numFmt w:val="bullet"/>
      <w:lvlText w:val="•"/>
      <w:lvlJc w:val="left"/>
      <w:pPr>
        <w:tabs>
          <w:tab w:val="num" w:pos="5760"/>
        </w:tabs>
        <w:ind w:left="5760" w:hanging="360"/>
      </w:pPr>
      <w:rPr>
        <w:rFonts w:ascii="Arial" w:hAnsi="Arial" w:hint="default"/>
      </w:rPr>
    </w:lvl>
    <w:lvl w:ilvl="8" w:tplc="68ECB3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7B450C"/>
    <w:multiLevelType w:val="hybridMultilevel"/>
    <w:tmpl w:val="5D808DE0"/>
    <w:lvl w:ilvl="0" w:tplc="3086CB66">
      <w:start w:val="1"/>
      <w:numFmt w:val="bullet"/>
      <w:lvlText w:val="•"/>
      <w:lvlJc w:val="left"/>
      <w:pPr>
        <w:tabs>
          <w:tab w:val="num" w:pos="720"/>
        </w:tabs>
        <w:ind w:left="720" w:hanging="360"/>
      </w:pPr>
      <w:rPr>
        <w:rFonts w:ascii="Arial" w:hAnsi="Arial" w:hint="default"/>
      </w:rPr>
    </w:lvl>
    <w:lvl w:ilvl="1" w:tplc="BA421F76" w:tentative="1">
      <w:start w:val="1"/>
      <w:numFmt w:val="bullet"/>
      <w:lvlText w:val="•"/>
      <w:lvlJc w:val="left"/>
      <w:pPr>
        <w:tabs>
          <w:tab w:val="num" w:pos="1440"/>
        </w:tabs>
        <w:ind w:left="1440" w:hanging="360"/>
      </w:pPr>
      <w:rPr>
        <w:rFonts w:ascii="Arial" w:hAnsi="Arial" w:hint="default"/>
      </w:rPr>
    </w:lvl>
    <w:lvl w:ilvl="2" w:tplc="54968204" w:tentative="1">
      <w:start w:val="1"/>
      <w:numFmt w:val="bullet"/>
      <w:lvlText w:val="•"/>
      <w:lvlJc w:val="left"/>
      <w:pPr>
        <w:tabs>
          <w:tab w:val="num" w:pos="2160"/>
        </w:tabs>
        <w:ind w:left="2160" w:hanging="360"/>
      </w:pPr>
      <w:rPr>
        <w:rFonts w:ascii="Arial" w:hAnsi="Arial" w:hint="default"/>
      </w:rPr>
    </w:lvl>
    <w:lvl w:ilvl="3" w:tplc="79B465CE" w:tentative="1">
      <w:start w:val="1"/>
      <w:numFmt w:val="bullet"/>
      <w:lvlText w:val="•"/>
      <w:lvlJc w:val="left"/>
      <w:pPr>
        <w:tabs>
          <w:tab w:val="num" w:pos="2880"/>
        </w:tabs>
        <w:ind w:left="2880" w:hanging="360"/>
      </w:pPr>
      <w:rPr>
        <w:rFonts w:ascii="Arial" w:hAnsi="Arial" w:hint="default"/>
      </w:rPr>
    </w:lvl>
    <w:lvl w:ilvl="4" w:tplc="112E7F62" w:tentative="1">
      <w:start w:val="1"/>
      <w:numFmt w:val="bullet"/>
      <w:lvlText w:val="•"/>
      <w:lvlJc w:val="left"/>
      <w:pPr>
        <w:tabs>
          <w:tab w:val="num" w:pos="3600"/>
        </w:tabs>
        <w:ind w:left="3600" w:hanging="360"/>
      </w:pPr>
      <w:rPr>
        <w:rFonts w:ascii="Arial" w:hAnsi="Arial" w:hint="default"/>
      </w:rPr>
    </w:lvl>
    <w:lvl w:ilvl="5" w:tplc="330A6574" w:tentative="1">
      <w:start w:val="1"/>
      <w:numFmt w:val="bullet"/>
      <w:lvlText w:val="•"/>
      <w:lvlJc w:val="left"/>
      <w:pPr>
        <w:tabs>
          <w:tab w:val="num" w:pos="4320"/>
        </w:tabs>
        <w:ind w:left="4320" w:hanging="360"/>
      </w:pPr>
      <w:rPr>
        <w:rFonts w:ascii="Arial" w:hAnsi="Arial" w:hint="default"/>
      </w:rPr>
    </w:lvl>
    <w:lvl w:ilvl="6" w:tplc="71C2C3F4" w:tentative="1">
      <w:start w:val="1"/>
      <w:numFmt w:val="bullet"/>
      <w:lvlText w:val="•"/>
      <w:lvlJc w:val="left"/>
      <w:pPr>
        <w:tabs>
          <w:tab w:val="num" w:pos="5040"/>
        </w:tabs>
        <w:ind w:left="5040" w:hanging="360"/>
      </w:pPr>
      <w:rPr>
        <w:rFonts w:ascii="Arial" w:hAnsi="Arial" w:hint="default"/>
      </w:rPr>
    </w:lvl>
    <w:lvl w:ilvl="7" w:tplc="E056F638" w:tentative="1">
      <w:start w:val="1"/>
      <w:numFmt w:val="bullet"/>
      <w:lvlText w:val="•"/>
      <w:lvlJc w:val="left"/>
      <w:pPr>
        <w:tabs>
          <w:tab w:val="num" w:pos="5760"/>
        </w:tabs>
        <w:ind w:left="5760" w:hanging="360"/>
      </w:pPr>
      <w:rPr>
        <w:rFonts w:ascii="Arial" w:hAnsi="Arial" w:hint="default"/>
      </w:rPr>
    </w:lvl>
    <w:lvl w:ilvl="8" w:tplc="8BB404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1B7A60"/>
    <w:multiLevelType w:val="hybridMultilevel"/>
    <w:tmpl w:val="F0569A22"/>
    <w:lvl w:ilvl="0" w:tplc="9438BB5C">
      <w:start w:val="1"/>
      <w:numFmt w:val="bullet"/>
      <w:lvlText w:val="•"/>
      <w:lvlJc w:val="left"/>
      <w:pPr>
        <w:tabs>
          <w:tab w:val="num" w:pos="720"/>
        </w:tabs>
        <w:ind w:left="720" w:hanging="360"/>
      </w:pPr>
      <w:rPr>
        <w:rFonts w:ascii="Arial" w:hAnsi="Arial" w:hint="default"/>
      </w:rPr>
    </w:lvl>
    <w:lvl w:ilvl="1" w:tplc="33A24A98" w:tentative="1">
      <w:start w:val="1"/>
      <w:numFmt w:val="bullet"/>
      <w:lvlText w:val="•"/>
      <w:lvlJc w:val="left"/>
      <w:pPr>
        <w:tabs>
          <w:tab w:val="num" w:pos="1440"/>
        </w:tabs>
        <w:ind w:left="1440" w:hanging="360"/>
      </w:pPr>
      <w:rPr>
        <w:rFonts w:ascii="Arial" w:hAnsi="Arial" w:hint="default"/>
      </w:rPr>
    </w:lvl>
    <w:lvl w:ilvl="2" w:tplc="352C6400" w:tentative="1">
      <w:start w:val="1"/>
      <w:numFmt w:val="bullet"/>
      <w:lvlText w:val="•"/>
      <w:lvlJc w:val="left"/>
      <w:pPr>
        <w:tabs>
          <w:tab w:val="num" w:pos="2160"/>
        </w:tabs>
        <w:ind w:left="2160" w:hanging="360"/>
      </w:pPr>
      <w:rPr>
        <w:rFonts w:ascii="Arial" w:hAnsi="Arial" w:hint="default"/>
      </w:rPr>
    </w:lvl>
    <w:lvl w:ilvl="3" w:tplc="C2E09736" w:tentative="1">
      <w:start w:val="1"/>
      <w:numFmt w:val="bullet"/>
      <w:lvlText w:val="•"/>
      <w:lvlJc w:val="left"/>
      <w:pPr>
        <w:tabs>
          <w:tab w:val="num" w:pos="2880"/>
        </w:tabs>
        <w:ind w:left="2880" w:hanging="360"/>
      </w:pPr>
      <w:rPr>
        <w:rFonts w:ascii="Arial" w:hAnsi="Arial" w:hint="default"/>
      </w:rPr>
    </w:lvl>
    <w:lvl w:ilvl="4" w:tplc="58C2809A" w:tentative="1">
      <w:start w:val="1"/>
      <w:numFmt w:val="bullet"/>
      <w:lvlText w:val="•"/>
      <w:lvlJc w:val="left"/>
      <w:pPr>
        <w:tabs>
          <w:tab w:val="num" w:pos="3600"/>
        </w:tabs>
        <w:ind w:left="3600" w:hanging="360"/>
      </w:pPr>
      <w:rPr>
        <w:rFonts w:ascii="Arial" w:hAnsi="Arial" w:hint="default"/>
      </w:rPr>
    </w:lvl>
    <w:lvl w:ilvl="5" w:tplc="F280B208" w:tentative="1">
      <w:start w:val="1"/>
      <w:numFmt w:val="bullet"/>
      <w:lvlText w:val="•"/>
      <w:lvlJc w:val="left"/>
      <w:pPr>
        <w:tabs>
          <w:tab w:val="num" w:pos="4320"/>
        </w:tabs>
        <w:ind w:left="4320" w:hanging="360"/>
      </w:pPr>
      <w:rPr>
        <w:rFonts w:ascii="Arial" w:hAnsi="Arial" w:hint="default"/>
      </w:rPr>
    </w:lvl>
    <w:lvl w:ilvl="6" w:tplc="801E9808" w:tentative="1">
      <w:start w:val="1"/>
      <w:numFmt w:val="bullet"/>
      <w:lvlText w:val="•"/>
      <w:lvlJc w:val="left"/>
      <w:pPr>
        <w:tabs>
          <w:tab w:val="num" w:pos="5040"/>
        </w:tabs>
        <w:ind w:left="5040" w:hanging="360"/>
      </w:pPr>
      <w:rPr>
        <w:rFonts w:ascii="Arial" w:hAnsi="Arial" w:hint="default"/>
      </w:rPr>
    </w:lvl>
    <w:lvl w:ilvl="7" w:tplc="F808F8F2" w:tentative="1">
      <w:start w:val="1"/>
      <w:numFmt w:val="bullet"/>
      <w:lvlText w:val="•"/>
      <w:lvlJc w:val="left"/>
      <w:pPr>
        <w:tabs>
          <w:tab w:val="num" w:pos="5760"/>
        </w:tabs>
        <w:ind w:left="5760" w:hanging="360"/>
      </w:pPr>
      <w:rPr>
        <w:rFonts w:ascii="Arial" w:hAnsi="Arial" w:hint="default"/>
      </w:rPr>
    </w:lvl>
    <w:lvl w:ilvl="8" w:tplc="1C5417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022579"/>
    <w:multiLevelType w:val="multilevel"/>
    <w:tmpl w:val="7F02E404"/>
    <w:lvl w:ilvl="0">
      <w:start w:val="1"/>
      <w:numFmt w:val="decimal"/>
      <w:lvlText w:val="%1."/>
      <w:lvlJc w:val="left"/>
      <w:pPr>
        <w:ind w:left="860" w:hanging="360"/>
      </w:pPr>
      <w:rPr>
        <w:rFonts w:ascii="Calibri" w:eastAsia="Calibri" w:hAnsi="Calibri" w:cs="Calibri" w:hint="default"/>
        <w:b w:val="0"/>
        <w:bCs w:val="0"/>
        <w:i w:val="0"/>
        <w:iCs w:val="0"/>
        <w:color w:val="333333"/>
        <w:w w:val="100"/>
        <w:sz w:val="22"/>
        <w:szCs w:val="22"/>
        <w:lang w:val="en-US" w:eastAsia="en-US" w:bidi="ar-SA"/>
      </w:rPr>
    </w:lvl>
    <w:lvl w:ilvl="1">
      <w:start w:val="1"/>
      <w:numFmt w:val="decimal"/>
      <w:lvlText w:val="%1.%2"/>
      <w:lvlJc w:val="left"/>
      <w:pPr>
        <w:ind w:left="716" w:hanging="576"/>
      </w:pPr>
      <w:rPr>
        <w:rFonts w:ascii="Franklin Gothic Medium" w:eastAsia="Franklin Gothic Medium" w:hAnsi="Franklin Gothic Medium" w:cs="Franklin Gothic Medium" w:hint="default"/>
        <w:b w:val="0"/>
        <w:bCs w:val="0"/>
        <w:i w:val="0"/>
        <w:iCs w:val="0"/>
        <w:color w:val="333333"/>
        <w:w w:val="100"/>
        <w:sz w:val="28"/>
        <w:szCs w:val="28"/>
        <w:lang w:val="en-US" w:eastAsia="en-US" w:bidi="ar-SA"/>
      </w:rPr>
    </w:lvl>
    <w:lvl w:ilvl="2">
      <w:start w:val="1"/>
      <w:numFmt w:val="decimal"/>
      <w:lvlText w:val="%1.%2.%3"/>
      <w:lvlJc w:val="left"/>
      <w:pPr>
        <w:ind w:left="860" w:hanging="720"/>
      </w:pPr>
      <w:rPr>
        <w:rFonts w:ascii="Franklin Gothic Medium" w:eastAsia="Franklin Gothic Medium" w:hAnsi="Franklin Gothic Medium" w:cs="Franklin Gothic Medium" w:hint="default"/>
        <w:b w:val="0"/>
        <w:bCs w:val="0"/>
        <w:i/>
        <w:iCs/>
        <w:color w:val="333333"/>
        <w:spacing w:val="-3"/>
        <w:w w:val="100"/>
        <w:sz w:val="28"/>
        <w:szCs w:val="28"/>
        <w:lang w:val="en-US" w:eastAsia="en-US" w:bidi="ar-SA"/>
      </w:rPr>
    </w:lvl>
    <w:lvl w:ilvl="3">
      <w:numFmt w:val="bullet"/>
      <w:lvlText w:val=""/>
      <w:lvlJc w:val="left"/>
      <w:pPr>
        <w:ind w:left="860" w:hanging="360"/>
      </w:pPr>
      <w:rPr>
        <w:rFonts w:ascii="Symbol" w:eastAsia="Symbol" w:hAnsi="Symbol" w:cs="Symbol" w:hint="default"/>
        <w:b w:val="0"/>
        <w:bCs w:val="0"/>
        <w:i w:val="0"/>
        <w:iCs w:val="0"/>
        <w:color w:val="333333"/>
        <w:w w:val="100"/>
        <w:sz w:val="24"/>
        <w:szCs w:val="24"/>
        <w:lang w:val="en-US" w:eastAsia="en-US" w:bidi="ar-SA"/>
      </w:rPr>
    </w:lvl>
    <w:lvl w:ilvl="4">
      <w:numFmt w:val="bullet"/>
      <w:lvlText w:val="•"/>
      <w:lvlJc w:val="left"/>
      <w:pPr>
        <w:ind w:left="3786" w:hanging="360"/>
      </w:pPr>
      <w:rPr>
        <w:rFonts w:hint="default"/>
        <w:lang w:val="en-US" w:eastAsia="en-US" w:bidi="ar-SA"/>
      </w:rPr>
    </w:lvl>
    <w:lvl w:ilvl="5">
      <w:numFmt w:val="bullet"/>
      <w:lvlText w:val="•"/>
      <w:lvlJc w:val="left"/>
      <w:pPr>
        <w:ind w:left="4762" w:hanging="360"/>
      </w:pPr>
      <w:rPr>
        <w:rFonts w:hint="default"/>
        <w:lang w:val="en-US" w:eastAsia="en-US" w:bidi="ar-SA"/>
      </w:rPr>
    </w:lvl>
    <w:lvl w:ilvl="6">
      <w:numFmt w:val="bullet"/>
      <w:lvlText w:val="•"/>
      <w:lvlJc w:val="left"/>
      <w:pPr>
        <w:ind w:left="5737" w:hanging="360"/>
      </w:pPr>
      <w:rPr>
        <w:rFonts w:hint="default"/>
        <w:lang w:val="en-US" w:eastAsia="en-US" w:bidi="ar-SA"/>
      </w:rPr>
    </w:lvl>
    <w:lvl w:ilvl="7">
      <w:numFmt w:val="bullet"/>
      <w:lvlText w:val="•"/>
      <w:lvlJc w:val="left"/>
      <w:pPr>
        <w:ind w:left="6713" w:hanging="360"/>
      </w:pPr>
      <w:rPr>
        <w:rFonts w:hint="default"/>
        <w:lang w:val="en-US" w:eastAsia="en-US" w:bidi="ar-SA"/>
      </w:rPr>
    </w:lvl>
    <w:lvl w:ilvl="8">
      <w:numFmt w:val="bullet"/>
      <w:lvlText w:val="•"/>
      <w:lvlJc w:val="left"/>
      <w:pPr>
        <w:ind w:left="7688" w:hanging="360"/>
      </w:pPr>
      <w:rPr>
        <w:rFonts w:hint="default"/>
        <w:lang w:val="en-US" w:eastAsia="en-US" w:bidi="ar-SA"/>
      </w:rPr>
    </w:lvl>
  </w:abstractNum>
  <w:abstractNum w:abstractNumId="9" w15:restartNumberingAfterBreak="0">
    <w:nsid w:val="7A456B0E"/>
    <w:multiLevelType w:val="hybridMultilevel"/>
    <w:tmpl w:val="A1466A14"/>
    <w:lvl w:ilvl="0" w:tplc="F0C44320">
      <w:start w:val="1"/>
      <w:numFmt w:val="bullet"/>
      <w:lvlText w:val=""/>
      <w:lvlJc w:val="left"/>
      <w:pPr>
        <w:ind w:left="720" w:hanging="360"/>
      </w:pPr>
      <w:rPr>
        <w:rFonts w:ascii="Symbol" w:hAnsi="Symbol"/>
      </w:rPr>
    </w:lvl>
    <w:lvl w:ilvl="1" w:tplc="809A2EA8">
      <w:start w:val="1"/>
      <w:numFmt w:val="bullet"/>
      <w:lvlText w:val=""/>
      <w:lvlJc w:val="left"/>
      <w:pPr>
        <w:ind w:left="720" w:hanging="360"/>
      </w:pPr>
      <w:rPr>
        <w:rFonts w:ascii="Symbol" w:hAnsi="Symbol"/>
      </w:rPr>
    </w:lvl>
    <w:lvl w:ilvl="2" w:tplc="6F0230FE">
      <w:start w:val="1"/>
      <w:numFmt w:val="bullet"/>
      <w:lvlText w:val=""/>
      <w:lvlJc w:val="left"/>
      <w:pPr>
        <w:ind w:left="720" w:hanging="360"/>
      </w:pPr>
      <w:rPr>
        <w:rFonts w:ascii="Symbol" w:hAnsi="Symbol"/>
      </w:rPr>
    </w:lvl>
    <w:lvl w:ilvl="3" w:tplc="D6B67D0A">
      <w:start w:val="1"/>
      <w:numFmt w:val="bullet"/>
      <w:lvlText w:val=""/>
      <w:lvlJc w:val="left"/>
      <w:pPr>
        <w:ind w:left="720" w:hanging="360"/>
      </w:pPr>
      <w:rPr>
        <w:rFonts w:ascii="Symbol" w:hAnsi="Symbol"/>
      </w:rPr>
    </w:lvl>
    <w:lvl w:ilvl="4" w:tplc="68C4A128">
      <w:start w:val="1"/>
      <w:numFmt w:val="bullet"/>
      <w:lvlText w:val=""/>
      <w:lvlJc w:val="left"/>
      <w:pPr>
        <w:ind w:left="720" w:hanging="360"/>
      </w:pPr>
      <w:rPr>
        <w:rFonts w:ascii="Symbol" w:hAnsi="Symbol"/>
      </w:rPr>
    </w:lvl>
    <w:lvl w:ilvl="5" w:tplc="028E6968">
      <w:start w:val="1"/>
      <w:numFmt w:val="bullet"/>
      <w:lvlText w:val=""/>
      <w:lvlJc w:val="left"/>
      <w:pPr>
        <w:ind w:left="720" w:hanging="360"/>
      </w:pPr>
      <w:rPr>
        <w:rFonts w:ascii="Symbol" w:hAnsi="Symbol"/>
      </w:rPr>
    </w:lvl>
    <w:lvl w:ilvl="6" w:tplc="34C4B10A">
      <w:start w:val="1"/>
      <w:numFmt w:val="bullet"/>
      <w:lvlText w:val=""/>
      <w:lvlJc w:val="left"/>
      <w:pPr>
        <w:ind w:left="720" w:hanging="360"/>
      </w:pPr>
      <w:rPr>
        <w:rFonts w:ascii="Symbol" w:hAnsi="Symbol"/>
      </w:rPr>
    </w:lvl>
    <w:lvl w:ilvl="7" w:tplc="61243266">
      <w:start w:val="1"/>
      <w:numFmt w:val="bullet"/>
      <w:lvlText w:val=""/>
      <w:lvlJc w:val="left"/>
      <w:pPr>
        <w:ind w:left="720" w:hanging="360"/>
      </w:pPr>
      <w:rPr>
        <w:rFonts w:ascii="Symbol" w:hAnsi="Symbol"/>
      </w:rPr>
    </w:lvl>
    <w:lvl w:ilvl="8" w:tplc="CD18C548">
      <w:start w:val="1"/>
      <w:numFmt w:val="bullet"/>
      <w:lvlText w:val=""/>
      <w:lvlJc w:val="left"/>
      <w:pPr>
        <w:ind w:left="720" w:hanging="360"/>
      </w:pPr>
      <w:rPr>
        <w:rFonts w:ascii="Symbol" w:hAnsi="Symbol"/>
      </w:rPr>
    </w:lvl>
  </w:abstractNum>
  <w:abstractNum w:abstractNumId="10" w15:restartNumberingAfterBreak="0">
    <w:nsid w:val="7BBAD5F7"/>
    <w:multiLevelType w:val="hybridMultilevel"/>
    <w:tmpl w:val="C408DBE0"/>
    <w:lvl w:ilvl="0" w:tplc="A4B8DB04">
      <w:start w:val="1"/>
      <w:numFmt w:val="bullet"/>
      <w:lvlText w:val=""/>
      <w:lvlJc w:val="left"/>
      <w:pPr>
        <w:ind w:left="720" w:hanging="360"/>
      </w:pPr>
      <w:rPr>
        <w:rFonts w:ascii="Symbol" w:hAnsi="Symbol" w:hint="default"/>
      </w:rPr>
    </w:lvl>
    <w:lvl w:ilvl="1" w:tplc="A634A480">
      <w:start w:val="1"/>
      <w:numFmt w:val="bullet"/>
      <w:lvlText w:val="o"/>
      <w:lvlJc w:val="left"/>
      <w:pPr>
        <w:ind w:left="1440" w:hanging="360"/>
      </w:pPr>
      <w:rPr>
        <w:rFonts w:ascii="Courier New" w:hAnsi="Courier New" w:hint="default"/>
      </w:rPr>
    </w:lvl>
    <w:lvl w:ilvl="2" w:tplc="2F367CC4">
      <w:start w:val="1"/>
      <w:numFmt w:val="bullet"/>
      <w:lvlText w:val=""/>
      <w:lvlJc w:val="left"/>
      <w:pPr>
        <w:ind w:left="2160" w:hanging="360"/>
      </w:pPr>
      <w:rPr>
        <w:rFonts w:ascii="Wingdings" w:hAnsi="Wingdings" w:hint="default"/>
      </w:rPr>
    </w:lvl>
    <w:lvl w:ilvl="3" w:tplc="E6503342">
      <w:start w:val="1"/>
      <w:numFmt w:val="bullet"/>
      <w:lvlText w:val=""/>
      <w:lvlJc w:val="left"/>
      <w:pPr>
        <w:ind w:left="2880" w:hanging="360"/>
      </w:pPr>
      <w:rPr>
        <w:rFonts w:ascii="Symbol" w:hAnsi="Symbol" w:hint="default"/>
      </w:rPr>
    </w:lvl>
    <w:lvl w:ilvl="4" w:tplc="D7208CDC">
      <w:start w:val="1"/>
      <w:numFmt w:val="bullet"/>
      <w:lvlText w:val="o"/>
      <w:lvlJc w:val="left"/>
      <w:pPr>
        <w:ind w:left="3600" w:hanging="360"/>
      </w:pPr>
      <w:rPr>
        <w:rFonts w:ascii="Courier New" w:hAnsi="Courier New" w:hint="default"/>
      </w:rPr>
    </w:lvl>
    <w:lvl w:ilvl="5" w:tplc="3C40DE38">
      <w:start w:val="1"/>
      <w:numFmt w:val="bullet"/>
      <w:lvlText w:val=""/>
      <w:lvlJc w:val="left"/>
      <w:pPr>
        <w:ind w:left="4320" w:hanging="360"/>
      </w:pPr>
      <w:rPr>
        <w:rFonts w:ascii="Wingdings" w:hAnsi="Wingdings" w:hint="default"/>
      </w:rPr>
    </w:lvl>
    <w:lvl w:ilvl="6" w:tplc="97E0F892">
      <w:start w:val="1"/>
      <w:numFmt w:val="bullet"/>
      <w:lvlText w:val=""/>
      <w:lvlJc w:val="left"/>
      <w:pPr>
        <w:ind w:left="5040" w:hanging="360"/>
      </w:pPr>
      <w:rPr>
        <w:rFonts w:ascii="Symbol" w:hAnsi="Symbol" w:hint="default"/>
      </w:rPr>
    </w:lvl>
    <w:lvl w:ilvl="7" w:tplc="93DA788A">
      <w:start w:val="1"/>
      <w:numFmt w:val="bullet"/>
      <w:lvlText w:val="o"/>
      <w:lvlJc w:val="left"/>
      <w:pPr>
        <w:ind w:left="5760" w:hanging="360"/>
      </w:pPr>
      <w:rPr>
        <w:rFonts w:ascii="Courier New" w:hAnsi="Courier New" w:hint="default"/>
      </w:rPr>
    </w:lvl>
    <w:lvl w:ilvl="8" w:tplc="D062D1AA">
      <w:start w:val="1"/>
      <w:numFmt w:val="bullet"/>
      <w:lvlText w:val=""/>
      <w:lvlJc w:val="left"/>
      <w:pPr>
        <w:ind w:left="6480" w:hanging="360"/>
      </w:pPr>
      <w:rPr>
        <w:rFonts w:ascii="Wingdings" w:hAnsi="Wingdings" w:hint="default"/>
      </w:rPr>
    </w:lvl>
  </w:abstractNum>
  <w:num w:numId="1" w16cid:durableId="1377973207">
    <w:abstractNumId w:val="10"/>
  </w:num>
  <w:num w:numId="2" w16cid:durableId="1936932994">
    <w:abstractNumId w:val="8"/>
  </w:num>
  <w:num w:numId="3" w16cid:durableId="1431394267">
    <w:abstractNumId w:val="0"/>
  </w:num>
  <w:num w:numId="4" w16cid:durableId="531721981">
    <w:abstractNumId w:val="4"/>
  </w:num>
  <w:num w:numId="5" w16cid:durableId="938174284">
    <w:abstractNumId w:val="7"/>
  </w:num>
  <w:num w:numId="6" w16cid:durableId="678167552">
    <w:abstractNumId w:val="6"/>
  </w:num>
  <w:num w:numId="7" w16cid:durableId="853803869">
    <w:abstractNumId w:val="2"/>
  </w:num>
  <w:num w:numId="8" w16cid:durableId="956452571">
    <w:abstractNumId w:val="5"/>
  </w:num>
  <w:num w:numId="9" w16cid:durableId="1837574982">
    <w:abstractNumId w:val="9"/>
  </w:num>
  <w:num w:numId="10" w16cid:durableId="1772315138">
    <w:abstractNumId w:val="0"/>
  </w:num>
  <w:num w:numId="11" w16cid:durableId="1543513723">
    <w:abstractNumId w:val="3"/>
  </w:num>
  <w:num w:numId="12" w16cid:durableId="1988632054">
    <w:abstractNumId w:val="1"/>
  </w:num>
  <w:num w:numId="13" w16cid:durableId="973754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1A"/>
    <w:rsid w:val="00003045"/>
    <w:rsid w:val="00003988"/>
    <w:rsid w:val="00011AD0"/>
    <w:rsid w:val="00012A97"/>
    <w:rsid w:val="00012C32"/>
    <w:rsid w:val="0002113B"/>
    <w:rsid w:val="0003187E"/>
    <w:rsid w:val="0003514B"/>
    <w:rsid w:val="000368B3"/>
    <w:rsid w:val="000372E0"/>
    <w:rsid w:val="00047330"/>
    <w:rsid w:val="00057BBE"/>
    <w:rsid w:val="00061EEB"/>
    <w:rsid w:val="00066E1B"/>
    <w:rsid w:val="000715B7"/>
    <w:rsid w:val="00071939"/>
    <w:rsid w:val="00077C0D"/>
    <w:rsid w:val="00082075"/>
    <w:rsid w:val="00090F8C"/>
    <w:rsid w:val="000929E6"/>
    <w:rsid w:val="00095713"/>
    <w:rsid w:val="00096E8F"/>
    <w:rsid w:val="000A1271"/>
    <w:rsid w:val="000A3868"/>
    <w:rsid w:val="000A5030"/>
    <w:rsid w:val="000A5732"/>
    <w:rsid w:val="000B298A"/>
    <w:rsid w:val="000C1B76"/>
    <w:rsid w:val="000D3F45"/>
    <w:rsid w:val="000E529C"/>
    <w:rsid w:val="000F6D6D"/>
    <w:rsid w:val="000F7B42"/>
    <w:rsid w:val="00100FC8"/>
    <w:rsid w:val="00106991"/>
    <w:rsid w:val="00112177"/>
    <w:rsid w:val="00112384"/>
    <w:rsid w:val="0011320B"/>
    <w:rsid w:val="00116D70"/>
    <w:rsid w:val="001211EA"/>
    <w:rsid w:val="00122D88"/>
    <w:rsid w:val="00135AC7"/>
    <w:rsid w:val="00135DFB"/>
    <w:rsid w:val="00142D9E"/>
    <w:rsid w:val="00143B3D"/>
    <w:rsid w:val="001629DC"/>
    <w:rsid w:val="00181733"/>
    <w:rsid w:val="00183A6D"/>
    <w:rsid w:val="0018482A"/>
    <w:rsid w:val="00184E91"/>
    <w:rsid w:val="0018736F"/>
    <w:rsid w:val="00193CB9"/>
    <w:rsid w:val="00194423"/>
    <w:rsid w:val="00194E29"/>
    <w:rsid w:val="00195F76"/>
    <w:rsid w:val="001A04B6"/>
    <w:rsid w:val="001A17EF"/>
    <w:rsid w:val="001A26CF"/>
    <w:rsid w:val="001A2913"/>
    <w:rsid w:val="001A32CF"/>
    <w:rsid w:val="001B003B"/>
    <w:rsid w:val="001B074F"/>
    <w:rsid w:val="001B7B97"/>
    <w:rsid w:val="001C1CB8"/>
    <w:rsid w:val="001D4369"/>
    <w:rsid w:val="001D4B6F"/>
    <w:rsid w:val="001D5E7F"/>
    <w:rsid w:val="001D7B6E"/>
    <w:rsid w:val="001E318C"/>
    <w:rsid w:val="001E547F"/>
    <w:rsid w:val="001F34F4"/>
    <w:rsid w:val="0020136F"/>
    <w:rsid w:val="00203D7A"/>
    <w:rsid w:val="00204DB7"/>
    <w:rsid w:val="00207AAE"/>
    <w:rsid w:val="002165B8"/>
    <w:rsid w:val="002214FB"/>
    <w:rsid w:val="0022458E"/>
    <w:rsid w:val="002256D5"/>
    <w:rsid w:val="00234A72"/>
    <w:rsid w:val="00240C24"/>
    <w:rsid w:val="002449B8"/>
    <w:rsid w:val="00255627"/>
    <w:rsid w:val="0026066C"/>
    <w:rsid w:val="0026346A"/>
    <w:rsid w:val="002646F0"/>
    <w:rsid w:val="00264C66"/>
    <w:rsid w:val="00266943"/>
    <w:rsid w:val="00271012"/>
    <w:rsid w:val="00274D25"/>
    <w:rsid w:val="00276E5D"/>
    <w:rsid w:val="00285219"/>
    <w:rsid w:val="00287D27"/>
    <w:rsid w:val="00292144"/>
    <w:rsid w:val="00293539"/>
    <w:rsid w:val="00294EB7"/>
    <w:rsid w:val="00296154"/>
    <w:rsid w:val="0029695E"/>
    <w:rsid w:val="00297E7F"/>
    <w:rsid w:val="002A2C39"/>
    <w:rsid w:val="002B6212"/>
    <w:rsid w:val="002B766A"/>
    <w:rsid w:val="002C0CD2"/>
    <w:rsid w:val="002C233F"/>
    <w:rsid w:val="002C32EE"/>
    <w:rsid w:val="002D369E"/>
    <w:rsid w:val="002F0586"/>
    <w:rsid w:val="002F0CC4"/>
    <w:rsid w:val="002F2A73"/>
    <w:rsid w:val="002F4EF3"/>
    <w:rsid w:val="00301061"/>
    <w:rsid w:val="003034CF"/>
    <w:rsid w:val="0031029C"/>
    <w:rsid w:val="00314CB0"/>
    <w:rsid w:val="00316F1C"/>
    <w:rsid w:val="00322443"/>
    <w:rsid w:val="00323DEB"/>
    <w:rsid w:val="00325D17"/>
    <w:rsid w:val="00350742"/>
    <w:rsid w:val="00364AA7"/>
    <w:rsid w:val="0037275F"/>
    <w:rsid w:val="003757BC"/>
    <w:rsid w:val="0037641A"/>
    <w:rsid w:val="0038341B"/>
    <w:rsid w:val="003870B2"/>
    <w:rsid w:val="00392CED"/>
    <w:rsid w:val="00392F18"/>
    <w:rsid w:val="00395D8A"/>
    <w:rsid w:val="003A1ADE"/>
    <w:rsid w:val="003A40C9"/>
    <w:rsid w:val="003A4536"/>
    <w:rsid w:val="003A66C4"/>
    <w:rsid w:val="003A73F4"/>
    <w:rsid w:val="003B3B68"/>
    <w:rsid w:val="003C0DF6"/>
    <w:rsid w:val="003C5508"/>
    <w:rsid w:val="003E34A8"/>
    <w:rsid w:val="003E45E4"/>
    <w:rsid w:val="003E7DF6"/>
    <w:rsid w:val="003F2382"/>
    <w:rsid w:val="003F5921"/>
    <w:rsid w:val="003F672F"/>
    <w:rsid w:val="00400EDA"/>
    <w:rsid w:val="004217BC"/>
    <w:rsid w:val="00421835"/>
    <w:rsid w:val="004341C3"/>
    <w:rsid w:val="004411F1"/>
    <w:rsid w:val="0044586D"/>
    <w:rsid w:val="00451D36"/>
    <w:rsid w:val="00453F87"/>
    <w:rsid w:val="0046347D"/>
    <w:rsid w:val="00463996"/>
    <w:rsid w:val="004641AB"/>
    <w:rsid w:val="004646B7"/>
    <w:rsid w:val="004678EB"/>
    <w:rsid w:val="00471704"/>
    <w:rsid w:val="0047394C"/>
    <w:rsid w:val="00476947"/>
    <w:rsid w:val="004816AE"/>
    <w:rsid w:val="00485668"/>
    <w:rsid w:val="004A296D"/>
    <w:rsid w:val="004A49E9"/>
    <w:rsid w:val="004A7821"/>
    <w:rsid w:val="004B1EBB"/>
    <w:rsid w:val="004B6D86"/>
    <w:rsid w:val="004D7EC3"/>
    <w:rsid w:val="004E20AD"/>
    <w:rsid w:val="004E3460"/>
    <w:rsid w:val="004E37BD"/>
    <w:rsid w:val="004F5486"/>
    <w:rsid w:val="0050121A"/>
    <w:rsid w:val="00505810"/>
    <w:rsid w:val="0050591D"/>
    <w:rsid w:val="00506049"/>
    <w:rsid w:val="00514843"/>
    <w:rsid w:val="005268EB"/>
    <w:rsid w:val="00526A45"/>
    <w:rsid w:val="00527B09"/>
    <w:rsid w:val="00532E97"/>
    <w:rsid w:val="00533E12"/>
    <w:rsid w:val="00537572"/>
    <w:rsid w:val="00540F7A"/>
    <w:rsid w:val="00543E55"/>
    <w:rsid w:val="005512DE"/>
    <w:rsid w:val="00553FEC"/>
    <w:rsid w:val="0055533C"/>
    <w:rsid w:val="005624B8"/>
    <w:rsid w:val="0056473D"/>
    <w:rsid w:val="00565E6F"/>
    <w:rsid w:val="00573BB4"/>
    <w:rsid w:val="00574AA4"/>
    <w:rsid w:val="0058222A"/>
    <w:rsid w:val="005838CC"/>
    <w:rsid w:val="00585EE4"/>
    <w:rsid w:val="00597C8B"/>
    <w:rsid w:val="00597D00"/>
    <w:rsid w:val="005A5A06"/>
    <w:rsid w:val="005B1DC1"/>
    <w:rsid w:val="005B1EE6"/>
    <w:rsid w:val="005B2594"/>
    <w:rsid w:val="005B3D53"/>
    <w:rsid w:val="005B6E71"/>
    <w:rsid w:val="005D0B71"/>
    <w:rsid w:val="005D15F5"/>
    <w:rsid w:val="005D2E75"/>
    <w:rsid w:val="005D483E"/>
    <w:rsid w:val="005D4E76"/>
    <w:rsid w:val="005E360F"/>
    <w:rsid w:val="005E7E5D"/>
    <w:rsid w:val="005F63C1"/>
    <w:rsid w:val="005F7C1A"/>
    <w:rsid w:val="00611A87"/>
    <w:rsid w:val="00614892"/>
    <w:rsid w:val="006232BB"/>
    <w:rsid w:val="00625AB8"/>
    <w:rsid w:val="006326E8"/>
    <w:rsid w:val="006400FC"/>
    <w:rsid w:val="00643601"/>
    <w:rsid w:val="00650654"/>
    <w:rsid w:val="00661A8E"/>
    <w:rsid w:val="0066208E"/>
    <w:rsid w:val="0066526D"/>
    <w:rsid w:val="006667D0"/>
    <w:rsid w:val="00670C86"/>
    <w:rsid w:val="0067109E"/>
    <w:rsid w:val="00671991"/>
    <w:rsid w:val="0067368C"/>
    <w:rsid w:val="00687FBA"/>
    <w:rsid w:val="00695270"/>
    <w:rsid w:val="00696ED1"/>
    <w:rsid w:val="006A187E"/>
    <w:rsid w:val="006A2A14"/>
    <w:rsid w:val="006A4444"/>
    <w:rsid w:val="006A71F0"/>
    <w:rsid w:val="006A7FA1"/>
    <w:rsid w:val="006B1FCB"/>
    <w:rsid w:val="006B548C"/>
    <w:rsid w:val="006C346A"/>
    <w:rsid w:val="006C6768"/>
    <w:rsid w:val="006D2ECD"/>
    <w:rsid w:val="006D39E4"/>
    <w:rsid w:val="006D3EF5"/>
    <w:rsid w:val="006D5176"/>
    <w:rsid w:val="006D7A6A"/>
    <w:rsid w:val="006E4895"/>
    <w:rsid w:val="006E5F93"/>
    <w:rsid w:val="006F3FE0"/>
    <w:rsid w:val="00707111"/>
    <w:rsid w:val="0070FD33"/>
    <w:rsid w:val="00712835"/>
    <w:rsid w:val="00716071"/>
    <w:rsid w:val="0072158B"/>
    <w:rsid w:val="00724A8E"/>
    <w:rsid w:val="00724AB8"/>
    <w:rsid w:val="00731E18"/>
    <w:rsid w:val="00732A3D"/>
    <w:rsid w:val="00740A7B"/>
    <w:rsid w:val="00746081"/>
    <w:rsid w:val="007516B3"/>
    <w:rsid w:val="00753A5E"/>
    <w:rsid w:val="0076091D"/>
    <w:rsid w:val="00761458"/>
    <w:rsid w:val="00762518"/>
    <w:rsid w:val="00764303"/>
    <w:rsid w:val="00764331"/>
    <w:rsid w:val="007672DF"/>
    <w:rsid w:val="007702E6"/>
    <w:rsid w:val="0077065B"/>
    <w:rsid w:val="00770AB1"/>
    <w:rsid w:val="00773881"/>
    <w:rsid w:val="00775A66"/>
    <w:rsid w:val="00775F24"/>
    <w:rsid w:val="007771FE"/>
    <w:rsid w:val="007818A2"/>
    <w:rsid w:val="00782E5C"/>
    <w:rsid w:val="00784A4C"/>
    <w:rsid w:val="007906E3"/>
    <w:rsid w:val="007946B1"/>
    <w:rsid w:val="007A156D"/>
    <w:rsid w:val="007A269B"/>
    <w:rsid w:val="007B1BD2"/>
    <w:rsid w:val="007C34F1"/>
    <w:rsid w:val="007D2657"/>
    <w:rsid w:val="007D4E50"/>
    <w:rsid w:val="007D632F"/>
    <w:rsid w:val="007D64CB"/>
    <w:rsid w:val="007D65D7"/>
    <w:rsid w:val="007D72D5"/>
    <w:rsid w:val="007E0B9A"/>
    <w:rsid w:val="007F3EFD"/>
    <w:rsid w:val="00811756"/>
    <w:rsid w:val="00815DA6"/>
    <w:rsid w:val="00816CD4"/>
    <w:rsid w:val="00820786"/>
    <w:rsid w:val="00824188"/>
    <w:rsid w:val="00824729"/>
    <w:rsid w:val="0083276B"/>
    <w:rsid w:val="00836D9F"/>
    <w:rsid w:val="00840ED8"/>
    <w:rsid w:val="008439F2"/>
    <w:rsid w:val="0084466C"/>
    <w:rsid w:val="00845722"/>
    <w:rsid w:val="0084589C"/>
    <w:rsid w:val="00852F80"/>
    <w:rsid w:val="00855462"/>
    <w:rsid w:val="00856884"/>
    <w:rsid w:val="008607BD"/>
    <w:rsid w:val="00867265"/>
    <w:rsid w:val="00867B1B"/>
    <w:rsid w:val="008702F4"/>
    <w:rsid w:val="00870625"/>
    <w:rsid w:val="00873B16"/>
    <w:rsid w:val="00873D2D"/>
    <w:rsid w:val="00876713"/>
    <w:rsid w:val="008955BD"/>
    <w:rsid w:val="008A2804"/>
    <w:rsid w:val="008A4D00"/>
    <w:rsid w:val="008A68F1"/>
    <w:rsid w:val="008B0973"/>
    <w:rsid w:val="008B3FDE"/>
    <w:rsid w:val="008C19A6"/>
    <w:rsid w:val="008C25FC"/>
    <w:rsid w:val="008C3E56"/>
    <w:rsid w:val="008C5595"/>
    <w:rsid w:val="008E0975"/>
    <w:rsid w:val="008E0CCB"/>
    <w:rsid w:val="008F053E"/>
    <w:rsid w:val="008F081A"/>
    <w:rsid w:val="008F1CEF"/>
    <w:rsid w:val="008F708E"/>
    <w:rsid w:val="00900DFA"/>
    <w:rsid w:val="00903F83"/>
    <w:rsid w:val="009045BC"/>
    <w:rsid w:val="009047FA"/>
    <w:rsid w:val="009051B7"/>
    <w:rsid w:val="00906908"/>
    <w:rsid w:val="00910678"/>
    <w:rsid w:val="00912591"/>
    <w:rsid w:val="00914617"/>
    <w:rsid w:val="00915871"/>
    <w:rsid w:val="009164C5"/>
    <w:rsid w:val="00916854"/>
    <w:rsid w:val="00921B6E"/>
    <w:rsid w:val="00922340"/>
    <w:rsid w:val="00926102"/>
    <w:rsid w:val="00933AA7"/>
    <w:rsid w:val="00942334"/>
    <w:rsid w:val="009561A6"/>
    <w:rsid w:val="009610C9"/>
    <w:rsid w:val="00961CCB"/>
    <w:rsid w:val="0096772F"/>
    <w:rsid w:val="009708E2"/>
    <w:rsid w:val="009732F5"/>
    <w:rsid w:val="009800F8"/>
    <w:rsid w:val="00981677"/>
    <w:rsid w:val="00981CF7"/>
    <w:rsid w:val="00982AA7"/>
    <w:rsid w:val="00986BB3"/>
    <w:rsid w:val="009A0E7C"/>
    <w:rsid w:val="009B422D"/>
    <w:rsid w:val="009C203C"/>
    <w:rsid w:val="009C2ACC"/>
    <w:rsid w:val="009C34D2"/>
    <w:rsid w:val="009C4D9B"/>
    <w:rsid w:val="009D0EAF"/>
    <w:rsid w:val="009D22E1"/>
    <w:rsid w:val="009E03E8"/>
    <w:rsid w:val="009F198F"/>
    <w:rsid w:val="009F1DDC"/>
    <w:rsid w:val="009F7562"/>
    <w:rsid w:val="00A0121A"/>
    <w:rsid w:val="00A0531F"/>
    <w:rsid w:val="00A10C15"/>
    <w:rsid w:val="00A1632C"/>
    <w:rsid w:val="00A24707"/>
    <w:rsid w:val="00A24D38"/>
    <w:rsid w:val="00A2789F"/>
    <w:rsid w:val="00A34E68"/>
    <w:rsid w:val="00A40612"/>
    <w:rsid w:val="00A43DE2"/>
    <w:rsid w:val="00A440D0"/>
    <w:rsid w:val="00A566B3"/>
    <w:rsid w:val="00A602E9"/>
    <w:rsid w:val="00A61051"/>
    <w:rsid w:val="00A634FA"/>
    <w:rsid w:val="00A64514"/>
    <w:rsid w:val="00A67A9E"/>
    <w:rsid w:val="00A71B71"/>
    <w:rsid w:val="00A7693A"/>
    <w:rsid w:val="00A76E09"/>
    <w:rsid w:val="00A85319"/>
    <w:rsid w:val="00A878D4"/>
    <w:rsid w:val="00A97104"/>
    <w:rsid w:val="00AB3803"/>
    <w:rsid w:val="00AB45F7"/>
    <w:rsid w:val="00AB4812"/>
    <w:rsid w:val="00AC0CD1"/>
    <w:rsid w:val="00AC66E7"/>
    <w:rsid w:val="00AC7A58"/>
    <w:rsid w:val="00AE28B2"/>
    <w:rsid w:val="00AE46A8"/>
    <w:rsid w:val="00AE4C33"/>
    <w:rsid w:val="00AF0C8B"/>
    <w:rsid w:val="00AF6F03"/>
    <w:rsid w:val="00B052BE"/>
    <w:rsid w:val="00B10C2F"/>
    <w:rsid w:val="00B14C03"/>
    <w:rsid w:val="00B17229"/>
    <w:rsid w:val="00B2635B"/>
    <w:rsid w:val="00B26E88"/>
    <w:rsid w:val="00B30E4D"/>
    <w:rsid w:val="00B33DA5"/>
    <w:rsid w:val="00B40F8D"/>
    <w:rsid w:val="00B42B0A"/>
    <w:rsid w:val="00B43439"/>
    <w:rsid w:val="00B438DA"/>
    <w:rsid w:val="00B439DE"/>
    <w:rsid w:val="00B517BD"/>
    <w:rsid w:val="00B51C6F"/>
    <w:rsid w:val="00B51F54"/>
    <w:rsid w:val="00B53060"/>
    <w:rsid w:val="00B5784E"/>
    <w:rsid w:val="00B57E11"/>
    <w:rsid w:val="00B605C6"/>
    <w:rsid w:val="00B62005"/>
    <w:rsid w:val="00B6659E"/>
    <w:rsid w:val="00B6700B"/>
    <w:rsid w:val="00B672B7"/>
    <w:rsid w:val="00B67E6A"/>
    <w:rsid w:val="00B70218"/>
    <w:rsid w:val="00B70B80"/>
    <w:rsid w:val="00B7222A"/>
    <w:rsid w:val="00B72F4A"/>
    <w:rsid w:val="00B74EB9"/>
    <w:rsid w:val="00B85264"/>
    <w:rsid w:val="00B86EB8"/>
    <w:rsid w:val="00B902B2"/>
    <w:rsid w:val="00B93860"/>
    <w:rsid w:val="00B9427D"/>
    <w:rsid w:val="00B9442C"/>
    <w:rsid w:val="00B94481"/>
    <w:rsid w:val="00BA49BE"/>
    <w:rsid w:val="00BB1149"/>
    <w:rsid w:val="00BB276F"/>
    <w:rsid w:val="00BB2FC0"/>
    <w:rsid w:val="00BB3AD4"/>
    <w:rsid w:val="00BB47D4"/>
    <w:rsid w:val="00BB4F85"/>
    <w:rsid w:val="00BC1959"/>
    <w:rsid w:val="00BC24D2"/>
    <w:rsid w:val="00BD1617"/>
    <w:rsid w:val="00BD236B"/>
    <w:rsid w:val="00BD254A"/>
    <w:rsid w:val="00BD6F77"/>
    <w:rsid w:val="00BE1BAD"/>
    <w:rsid w:val="00BE4045"/>
    <w:rsid w:val="00BE414F"/>
    <w:rsid w:val="00BE5383"/>
    <w:rsid w:val="00BF317E"/>
    <w:rsid w:val="00BF4A6E"/>
    <w:rsid w:val="00BF5073"/>
    <w:rsid w:val="00C009C4"/>
    <w:rsid w:val="00C16259"/>
    <w:rsid w:val="00C2044E"/>
    <w:rsid w:val="00C20664"/>
    <w:rsid w:val="00C24306"/>
    <w:rsid w:val="00C2477B"/>
    <w:rsid w:val="00C277CD"/>
    <w:rsid w:val="00C320F6"/>
    <w:rsid w:val="00C36FBE"/>
    <w:rsid w:val="00C42C09"/>
    <w:rsid w:val="00C43DA8"/>
    <w:rsid w:val="00C44183"/>
    <w:rsid w:val="00C5556F"/>
    <w:rsid w:val="00C55B77"/>
    <w:rsid w:val="00C64DDE"/>
    <w:rsid w:val="00C80FA7"/>
    <w:rsid w:val="00C84F74"/>
    <w:rsid w:val="00C90DEB"/>
    <w:rsid w:val="00C9121E"/>
    <w:rsid w:val="00C95F6B"/>
    <w:rsid w:val="00C97495"/>
    <w:rsid w:val="00CA1531"/>
    <w:rsid w:val="00CA1EDA"/>
    <w:rsid w:val="00CA380F"/>
    <w:rsid w:val="00CA7C1F"/>
    <w:rsid w:val="00CB7193"/>
    <w:rsid w:val="00CC30CD"/>
    <w:rsid w:val="00CC353F"/>
    <w:rsid w:val="00CC6472"/>
    <w:rsid w:val="00CC7754"/>
    <w:rsid w:val="00CD0541"/>
    <w:rsid w:val="00CD0B5B"/>
    <w:rsid w:val="00CD414F"/>
    <w:rsid w:val="00CD4B45"/>
    <w:rsid w:val="00CD7125"/>
    <w:rsid w:val="00CE0514"/>
    <w:rsid w:val="00CE1682"/>
    <w:rsid w:val="00CE2774"/>
    <w:rsid w:val="00CE5EB3"/>
    <w:rsid w:val="00CF31A7"/>
    <w:rsid w:val="00CF3D92"/>
    <w:rsid w:val="00CF4C62"/>
    <w:rsid w:val="00CF6D15"/>
    <w:rsid w:val="00D01BEE"/>
    <w:rsid w:val="00D142DB"/>
    <w:rsid w:val="00D26172"/>
    <w:rsid w:val="00D30DAE"/>
    <w:rsid w:val="00D33CF8"/>
    <w:rsid w:val="00D36742"/>
    <w:rsid w:val="00D36C8B"/>
    <w:rsid w:val="00D408D5"/>
    <w:rsid w:val="00D44C48"/>
    <w:rsid w:val="00D454D5"/>
    <w:rsid w:val="00D47BD9"/>
    <w:rsid w:val="00D50115"/>
    <w:rsid w:val="00D50F86"/>
    <w:rsid w:val="00D5483C"/>
    <w:rsid w:val="00D54E6E"/>
    <w:rsid w:val="00D54ED1"/>
    <w:rsid w:val="00D665B7"/>
    <w:rsid w:val="00D66D1B"/>
    <w:rsid w:val="00D7482D"/>
    <w:rsid w:val="00D74C2C"/>
    <w:rsid w:val="00D800FA"/>
    <w:rsid w:val="00D9064A"/>
    <w:rsid w:val="00D92A92"/>
    <w:rsid w:val="00D9518F"/>
    <w:rsid w:val="00D95EC2"/>
    <w:rsid w:val="00D96D0D"/>
    <w:rsid w:val="00D96F04"/>
    <w:rsid w:val="00DA3A18"/>
    <w:rsid w:val="00DA478F"/>
    <w:rsid w:val="00DB0856"/>
    <w:rsid w:val="00DB09F8"/>
    <w:rsid w:val="00DB1580"/>
    <w:rsid w:val="00DB1D6A"/>
    <w:rsid w:val="00DB2B7E"/>
    <w:rsid w:val="00DB7A12"/>
    <w:rsid w:val="00DC4AB2"/>
    <w:rsid w:val="00DC7DE6"/>
    <w:rsid w:val="00DD01F0"/>
    <w:rsid w:val="00DD23CB"/>
    <w:rsid w:val="00DD5525"/>
    <w:rsid w:val="00DD6EF4"/>
    <w:rsid w:val="00DE6BB2"/>
    <w:rsid w:val="00DF1FA8"/>
    <w:rsid w:val="00DF761D"/>
    <w:rsid w:val="00E0410F"/>
    <w:rsid w:val="00E04929"/>
    <w:rsid w:val="00E04D76"/>
    <w:rsid w:val="00E04DFD"/>
    <w:rsid w:val="00E05F71"/>
    <w:rsid w:val="00E116CA"/>
    <w:rsid w:val="00E12141"/>
    <w:rsid w:val="00E16563"/>
    <w:rsid w:val="00E2317B"/>
    <w:rsid w:val="00E25702"/>
    <w:rsid w:val="00E26AC0"/>
    <w:rsid w:val="00E26DA5"/>
    <w:rsid w:val="00E30C5D"/>
    <w:rsid w:val="00E3797A"/>
    <w:rsid w:val="00E37CF9"/>
    <w:rsid w:val="00E4514F"/>
    <w:rsid w:val="00E45CF2"/>
    <w:rsid w:val="00E52484"/>
    <w:rsid w:val="00E6324C"/>
    <w:rsid w:val="00E71CC5"/>
    <w:rsid w:val="00E74728"/>
    <w:rsid w:val="00E81846"/>
    <w:rsid w:val="00E84DBB"/>
    <w:rsid w:val="00E85529"/>
    <w:rsid w:val="00EA1D46"/>
    <w:rsid w:val="00EA5222"/>
    <w:rsid w:val="00EB15F6"/>
    <w:rsid w:val="00EB342F"/>
    <w:rsid w:val="00EB47A9"/>
    <w:rsid w:val="00ED4681"/>
    <w:rsid w:val="00EE1551"/>
    <w:rsid w:val="00EE7882"/>
    <w:rsid w:val="00EE7E61"/>
    <w:rsid w:val="00EF071E"/>
    <w:rsid w:val="00F00348"/>
    <w:rsid w:val="00F01F6D"/>
    <w:rsid w:val="00F052A4"/>
    <w:rsid w:val="00F1278E"/>
    <w:rsid w:val="00F17C41"/>
    <w:rsid w:val="00F25F16"/>
    <w:rsid w:val="00F27CE5"/>
    <w:rsid w:val="00F30C66"/>
    <w:rsid w:val="00F37D8C"/>
    <w:rsid w:val="00F408D5"/>
    <w:rsid w:val="00F439F4"/>
    <w:rsid w:val="00F454AF"/>
    <w:rsid w:val="00F46D94"/>
    <w:rsid w:val="00F62E84"/>
    <w:rsid w:val="00F633A7"/>
    <w:rsid w:val="00F63E0E"/>
    <w:rsid w:val="00F66326"/>
    <w:rsid w:val="00F677BB"/>
    <w:rsid w:val="00F67C32"/>
    <w:rsid w:val="00F73E0E"/>
    <w:rsid w:val="00F75F84"/>
    <w:rsid w:val="00F7775A"/>
    <w:rsid w:val="00F77C21"/>
    <w:rsid w:val="00F80AFE"/>
    <w:rsid w:val="00F80EDC"/>
    <w:rsid w:val="00F81452"/>
    <w:rsid w:val="00F816A6"/>
    <w:rsid w:val="00F83979"/>
    <w:rsid w:val="00F85196"/>
    <w:rsid w:val="00F859CF"/>
    <w:rsid w:val="00F91526"/>
    <w:rsid w:val="00F91948"/>
    <w:rsid w:val="00F92D1A"/>
    <w:rsid w:val="00F95F6A"/>
    <w:rsid w:val="00FA2A59"/>
    <w:rsid w:val="00FA3353"/>
    <w:rsid w:val="00FA69B3"/>
    <w:rsid w:val="00FA6C0C"/>
    <w:rsid w:val="00FB1F7C"/>
    <w:rsid w:val="00FB48D5"/>
    <w:rsid w:val="00FB6326"/>
    <w:rsid w:val="00FC16E2"/>
    <w:rsid w:val="00FC1DB6"/>
    <w:rsid w:val="00FC2224"/>
    <w:rsid w:val="00FC5420"/>
    <w:rsid w:val="00FC67A8"/>
    <w:rsid w:val="00FD01E0"/>
    <w:rsid w:val="00FD26AF"/>
    <w:rsid w:val="00FD373C"/>
    <w:rsid w:val="00FD66DF"/>
    <w:rsid w:val="00FE0EE8"/>
    <w:rsid w:val="00FE2652"/>
    <w:rsid w:val="00FE6091"/>
    <w:rsid w:val="0CA9A3FE"/>
    <w:rsid w:val="255B4C7C"/>
    <w:rsid w:val="2955C918"/>
    <w:rsid w:val="2D62D570"/>
    <w:rsid w:val="2E52F59C"/>
    <w:rsid w:val="3CDB9090"/>
    <w:rsid w:val="429983E0"/>
    <w:rsid w:val="46A98E90"/>
    <w:rsid w:val="47EB709D"/>
    <w:rsid w:val="60F0B2AB"/>
    <w:rsid w:val="6580A809"/>
    <w:rsid w:val="74E52484"/>
    <w:rsid w:val="755AED62"/>
    <w:rsid w:val="78E2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2808"/>
  <w15:chartTrackingRefBased/>
  <w15:docId w15:val="{5F51C9D9-7EFA-4D17-9EB9-EF87BC47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8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C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1C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8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C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51C6F"/>
    <w:rPr>
      <w:rFonts w:asciiTheme="majorHAnsi" w:eastAsiaTheme="majorEastAsia" w:hAnsiTheme="majorHAnsi" w:cstheme="majorBidi"/>
      <w:color w:val="1F3763" w:themeColor="accent1" w:themeShade="7F"/>
      <w:sz w:val="24"/>
      <w:szCs w:val="24"/>
    </w:rPr>
  </w:style>
  <w:style w:type="paragraph" w:styleId="BodyText">
    <w:name w:val="Body Text"/>
    <w:link w:val="BodyTextChar"/>
    <w:qFormat/>
    <w:rsid w:val="00F77C21"/>
    <w:pPr>
      <w:spacing w:after="200" w:line="288" w:lineRule="auto"/>
    </w:pPr>
    <w:rPr>
      <w:rFonts w:ascii="Segoe UI" w:hAnsi="Segoe UI"/>
      <w:sz w:val="21"/>
      <w:szCs w:val="21"/>
    </w:rPr>
  </w:style>
  <w:style w:type="character" w:customStyle="1" w:styleId="BodyTextChar">
    <w:name w:val="Body Text Char"/>
    <w:basedOn w:val="DefaultParagraphFont"/>
    <w:link w:val="BodyText"/>
    <w:rsid w:val="00F77C21"/>
    <w:rPr>
      <w:rFonts w:ascii="Segoe UI" w:hAnsi="Segoe UI"/>
      <w:sz w:val="21"/>
      <w:szCs w:val="21"/>
    </w:rPr>
  </w:style>
  <w:style w:type="paragraph" w:styleId="ListParagraph">
    <w:name w:val="List Paragraph"/>
    <w:basedOn w:val="Normal"/>
    <w:uiPriority w:val="1"/>
    <w:qFormat/>
    <w:rsid w:val="00B51C6F"/>
    <w:pPr>
      <w:widowControl w:val="0"/>
      <w:autoSpaceDE w:val="0"/>
      <w:autoSpaceDN w:val="0"/>
      <w:spacing w:after="0" w:line="240" w:lineRule="auto"/>
      <w:ind w:left="860" w:hanging="361"/>
    </w:pPr>
    <w:rPr>
      <w:rFonts w:ascii="Calibri" w:eastAsia="Calibri" w:hAnsi="Calibri" w:cs="Calibri"/>
    </w:rPr>
  </w:style>
  <w:style w:type="paragraph" w:customStyle="1" w:styleId="TableParagraph">
    <w:name w:val="Table Paragraph"/>
    <w:basedOn w:val="Normal"/>
    <w:uiPriority w:val="1"/>
    <w:qFormat/>
    <w:rsid w:val="00B51C6F"/>
    <w:pPr>
      <w:widowControl w:val="0"/>
      <w:autoSpaceDE w:val="0"/>
      <w:autoSpaceDN w:val="0"/>
      <w:spacing w:before="1" w:after="0" w:line="240" w:lineRule="auto"/>
      <w:ind w:left="107"/>
    </w:pPr>
    <w:rPr>
      <w:rFonts w:ascii="Calibri" w:eastAsia="Calibri" w:hAnsi="Calibri" w:cs="Calibri"/>
    </w:rPr>
  </w:style>
  <w:style w:type="paragraph" w:styleId="ListBullet">
    <w:name w:val="List Bullet"/>
    <w:basedOn w:val="Normal"/>
    <w:uiPriority w:val="99"/>
    <w:unhideWhenUsed/>
    <w:rsid w:val="002B766A"/>
    <w:pPr>
      <w:numPr>
        <w:numId w:val="3"/>
      </w:numPr>
      <w:contextualSpacing/>
    </w:pPr>
  </w:style>
  <w:style w:type="character" w:styleId="CommentReference">
    <w:name w:val="annotation reference"/>
    <w:basedOn w:val="DefaultParagraphFont"/>
    <w:uiPriority w:val="99"/>
    <w:semiHidden/>
    <w:unhideWhenUsed/>
    <w:rsid w:val="00090F8C"/>
    <w:rPr>
      <w:sz w:val="16"/>
      <w:szCs w:val="16"/>
    </w:rPr>
  </w:style>
  <w:style w:type="paragraph" w:styleId="CommentText">
    <w:name w:val="annotation text"/>
    <w:basedOn w:val="Normal"/>
    <w:link w:val="CommentTextChar"/>
    <w:uiPriority w:val="99"/>
    <w:unhideWhenUsed/>
    <w:rsid w:val="00090F8C"/>
    <w:pPr>
      <w:spacing w:line="240" w:lineRule="auto"/>
    </w:pPr>
    <w:rPr>
      <w:sz w:val="20"/>
      <w:szCs w:val="20"/>
    </w:rPr>
  </w:style>
  <w:style w:type="character" w:customStyle="1" w:styleId="CommentTextChar">
    <w:name w:val="Comment Text Char"/>
    <w:basedOn w:val="DefaultParagraphFont"/>
    <w:link w:val="CommentText"/>
    <w:uiPriority w:val="99"/>
    <w:rsid w:val="00090F8C"/>
    <w:rPr>
      <w:sz w:val="20"/>
      <w:szCs w:val="20"/>
    </w:rPr>
  </w:style>
  <w:style w:type="paragraph" w:styleId="CommentSubject">
    <w:name w:val="annotation subject"/>
    <w:basedOn w:val="CommentText"/>
    <w:next w:val="CommentText"/>
    <w:link w:val="CommentSubjectChar"/>
    <w:uiPriority w:val="99"/>
    <w:semiHidden/>
    <w:unhideWhenUsed/>
    <w:rsid w:val="00090F8C"/>
    <w:rPr>
      <w:b/>
      <w:bCs/>
    </w:rPr>
  </w:style>
  <w:style w:type="character" w:customStyle="1" w:styleId="CommentSubjectChar">
    <w:name w:val="Comment Subject Char"/>
    <w:basedOn w:val="CommentTextChar"/>
    <w:link w:val="CommentSubject"/>
    <w:uiPriority w:val="99"/>
    <w:semiHidden/>
    <w:rsid w:val="00090F8C"/>
    <w:rPr>
      <w:b/>
      <w:bCs/>
      <w:sz w:val="20"/>
      <w:szCs w:val="20"/>
    </w:rPr>
  </w:style>
  <w:style w:type="paragraph" w:styleId="Title">
    <w:name w:val="Title"/>
    <w:basedOn w:val="Normal"/>
    <w:next w:val="Normal"/>
    <w:link w:val="TitleChar"/>
    <w:uiPriority w:val="10"/>
    <w:qFormat/>
    <w:rsid w:val="005B3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D53"/>
    <w:rPr>
      <w:rFonts w:asciiTheme="majorHAnsi" w:eastAsiaTheme="majorEastAsia" w:hAnsiTheme="majorHAnsi" w:cstheme="majorBidi"/>
      <w:spacing w:val="-10"/>
      <w:kern w:val="28"/>
      <w:sz w:val="56"/>
      <w:szCs w:val="56"/>
    </w:rPr>
  </w:style>
  <w:style w:type="table" w:styleId="ListTable4-Accent5">
    <w:name w:val="List Table 4 Accent 5"/>
    <w:basedOn w:val="TableNormal"/>
    <w:uiPriority w:val="49"/>
    <w:rsid w:val="00294EB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1A26CF"/>
    <w:pPr>
      <w:spacing w:after="0" w:line="240" w:lineRule="auto"/>
    </w:pPr>
  </w:style>
  <w:style w:type="paragraph" w:styleId="Header">
    <w:name w:val="header"/>
    <w:basedOn w:val="Normal"/>
    <w:link w:val="HeaderChar"/>
    <w:uiPriority w:val="99"/>
    <w:unhideWhenUsed/>
    <w:rsid w:val="00564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3D"/>
  </w:style>
  <w:style w:type="paragraph" w:styleId="Footer">
    <w:name w:val="footer"/>
    <w:basedOn w:val="Normal"/>
    <w:link w:val="FooterChar"/>
    <w:uiPriority w:val="99"/>
    <w:unhideWhenUsed/>
    <w:rsid w:val="00564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3D"/>
  </w:style>
  <w:style w:type="character" w:styleId="Hyperlink">
    <w:name w:val="Hyperlink"/>
    <w:basedOn w:val="DefaultParagraphFont"/>
    <w:uiPriority w:val="99"/>
    <w:unhideWhenUsed/>
    <w:rsid w:val="003E45E4"/>
    <w:rPr>
      <w:color w:val="0563C1" w:themeColor="hyperlink"/>
      <w:u w:val="single"/>
    </w:rPr>
  </w:style>
  <w:style w:type="character" w:styleId="UnresolvedMention">
    <w:name w:val="Unresolved Mention"/>
    <w:basedOn w:val="DefaultParagraphFont"/>
    <w:uiPriority w:val="99"/>
    <w:semiHidden/>
    <w:unhideWhenUsed/>
    <w:rsid w:val="003E45E4"/>
    <w:rPr>
      <w:color w:val="605E5C"/>
      <w:shd w:val="clear" w:color="auto" w:fill="E1DFDD"/>
    </w:rPr>
  </w:style>
  <w:style w:type="character" w:styleId="FollowedHyperlink">
    <w:name w:val="FollowedHyperlink"/>
    <w:basedOn w:val="DefaultParagraphFont"/>
    <w:uiPriority w:val="99"/>
    <w:semiHidden/>
    <w:unhideWhenUsed/>
    <w:rsid w:val="0031029C"/>
    <w:rPr>
      <w:color w:val="954F72" w:themeColor="followedHyperlink"/>
      <w:u w:val="single"/>
    </w:rPr>
  </w:style>
  <w:style w:type="paragraph" w:styleId="Subtitle">
    <w:name w:val="Subtitle"/>
    <w:basedOn w:val="Normal"/>
    <w:next w:val="Normal"/>
    <w:link w:val="SubtitleChar"/>
    <w:uiPriority w:val="11"/>
    <w:qFormat/>
    <w:rsid w:val="0003187E"/>
    <w:pPr>
      <w:widowControl w:val="0"/>
      <w:numPr>
        <w:ilvl w:val="1"/>
      </w:numPr>
      <w:autoSpaceDE w:val="0"/>
      <w:autoSpaceDN w:val="0"/>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187E"/>
    <w:rPr>
      <w:rFonts w:eastAsiaTheme="minorEastAsia"/>
      <w:color w:val="5A5A5A" w:themeColor="text1" w:themeTint="A5"/>
      <w:spacing w:val="15"/>
    </w:rPr>
  </w:style>
  <w:style w:type="paragraph" w:customStyle="1" w:styleId="BodyTextPre-list">
    <w:name w:val="Body Text: Pre-list"/>
    <w:basedOn w:val="BodyText"/>
    <w:rsid w:val="00297E7F"/>
    <w:pPr>
      <w:keepNext/>
      <w:spacing w:after="80"/>
    </w:pPr>
  </w:style>
  <w:style w:type="paragraph" w:customStyle="1" w:styleId="ListBullet0">
    <w:name w:val="List: Bullet"/>
    <w:uiPriority w:val="2"/>
    <w:qFormat/>
    <w:rsid w:val="00297E7F"/>
    <w:pPr>
      <w:numPr>
        <w:numId w:val="13"/>
      </w:numPr>
      <w:spacing w:after="240" w:line="288" w:lineRule="auto"/>
      <w:contextualSpacing/>
    </w:pPr>
    <w:rPr>
      <w:rFonts w:ascii="Segoe UI" w:hAnsi="Segoe U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50989">
      <w:bodyDiv w:val="1"/>
      <w:marLeft w:val="0"/>
      <w:marRight w:val="0"/>
      <w:marTop w:val="0"/>
      <w:marBottom w:val="0"/>
      <w:divBdr>
        <w:top w:val="none" w:sz="0" w:space="0" w:color="auto"/>
        <w:left w:val="none" w:sz="0" w:space="0" w:color="auto"/>
        <w:bottom w:val="none" w:sz="0" w:space="0" w:color="auto"/>
        <w:right w:val="none" w:sz="0" w:space="0" w:color="auto"/>
      </w:divBdr>
      <w:divsChild>
        <w:div w:id="146439546">
          <w:marLeft w:val="446"/>
          <w:marRight w:val="0"/>
          <w:marTop w:val="0"/>
          <w:marBottom w:val="0"/>
          <w:divBdr>
            <w:top w:val="none" w:sz="0" w:space="0" w:color="auto"/>
            <w:left w:val="none" w:sz="0" w:space="0" w:color="auto"/>
            <w:bottom w:val="none" w:sz="0" w:space="0" w:color="auto"/>
            <w:right w:val="none" w:sz="0" w:space="0" w:color="auto"/>
          </w:divBdr>
        </w:div>
        <w:div w:id="498543912">
          <w:marLeft w:val="446"/>
          <w:marRight w:val="0"/>
          <w:marTop w:val="0"/>
          <w:marBottom w:val="0"/>
          <w:divBdr>
            <w:top w:val="none" w:sz="0" w:space="0" w:color="auto"/>
            <w:left w:val="none" w:sz="0" w:space="0" w:color="auto"/>
            <w:bottom w:val="none" w:sz="0" w:space="0" w:color="auto"/>
            <w:right w:val="none" w:sz="0" w:space="0" w:color="auto"/>
          </w:divBdr>
        </w:div>
        <w:div w:id="502165508">
          <w:marLeft w:val="446"/>
          <w:marRight w:val="0"/>
          <w:marTop w:val="0"/>
          <w:marBottom w:val="0"/>
          <w:divBdr>
            <w:top w:val="none" w:sz="0" w:space="0" w:color="auto"/>
            <w:left w:val="none" w:sz="0" w:space="0" w:color="auto"/>
            <w:bottom w:val="none" w:sz="0" w:space="0" w:color="auto"/>
            <w:right w:val="none" w:sz="0" w:space="0" w:color="auto"/>
          </w:divBdr>
        </w:div>
        <w:div w:id="606279737">
          <w:marLeft w:val="446"/>
          <w:marRight w:val="0"/>
          <w:marTop w:val="0"/>
          <w:marBottom w:val="0"/>
          <w:divBdr>
            <w:top w:val="none" w:sz="0" w:space="0" w:color="auto"/>
            <w:left w:val="none" w:sz="0" w:space="0" w:color="auto"/>
            <w:bottom w:val="none" w:sz="0" w:space="0" w:color="auto"/>
            <w:right w:val="none" w:sz="0" w:space="0" w:color="auto"/>
          </w:divBdr>
        </w:div>
        <w:div w:id="1030572428">
          <w:marLeft w:val="446"/>
          <w:marRight w:val="0"/>
          <w:marTop w:val="0"/>
          <w:marBottom w:val="0"/>
          <w:divBdr>
            <w:top w:val="none" w:sz="0" w:space="0" w:color="auto"/>
            <w:left w:val="none" w:sz="0" w:space="0" w:color="auto"/>
            <w:bottom w:val="none" w:sz="0" w:space="0" w:color="auto"/>
            <w:right w:val="none" w:sz="0" w:space="0" w:color="auto"/>
          </w:divBdr>
        </w:div>
        <w:div w:id="1266767669">
          <w:marLeft w:val="446"/>
          <w:marRight w:val="0"/>
          <w:marTop w:val="0"/>
          <w:marBottom w:val="0"/>
          <w:divBdr>
            <w:top w:val="none" w:sz="0" w:space="0" w:color="auto"/>
            <w:left w:val="none" w:sz="0" w:space="0" w:color="auto"/>
            <w:bottom w:val="none" w:sz="0" w:space="0" w:color="auto"/>
            <w:right w:val="none" w:sz="0" w:space="0" w:color="auto"/>
          </w:divBdr>
        </w:div>
        <w:div w:id="1292520743">
          <w:marLeft w:val="446"/>
          <w:marRight w:val="0"/>
          <w:marTop w:val="0"/>
          <w:marBottom w:val="0"/>
          <w:divBdr>
            <w:top w:val="none" w:sz="0" w:space="0" w:color="auto"/>
            <w:left w:val="none" w:sz="0" w:space="0" w:color="auto"/>
            <w:bottom w:val="none" w:sz="0" w:space="0" w:color="auto"/>
            <w:right w:val="none" w:sz="0" w:space="0" w:color="auto"/>
          </w:divBdr>
        </w:div>
        <w:div w:id="15352635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ehalisbasinstrategy.com/wp-content/uploads/2022/01/ASRPTableGraphic-ProjectActionsbyGSU_Near-Term.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hehalisbasinstrategy.com/wp-content/uploads/2022/09/Chehalis-ASRP-Years-1-10-Near-Term-Priorities-for-ASRP-Implementation-2020102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hehalisbasinstrategy.com/wp-content/uploads/2023/10/ASRP_LandownerAcknowledgementForm_10132023.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halisbasinstrategy.com/wp-content/uploads/2022/01/Chehalis_ASRP_PS-Memo_03182021_Tagged.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hehalisbasinstrategy.com/wp-content/uploads/2023/10/ASRP_Site-Assessment-Template_10132023.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ehalisbasinstrategy.com/asrp-phase-i-draft-pla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D7A32E13D3ED4C8C943259EC2EACEA" ma:contentTypeVersion="15" ma:contentTypeDescription="Create a new document." ma:contentTypeScope="" ma:versionID="c4b9d3b0b41bcdf87cbe6626c86020c0">
  <xsd:schema xmlns:xsd="http://www.w3.org/2001/XMLSchema" xmlns:xs="http://www.w3.org/2001/XMLSchema" xmlns:p="http://schemas.microsoft.com/office/2006/metadata/properties" xmlns:ns1="http://schemas.microsoft.com/sharepoint/v3" xmlns:ns2="cd41dcb9-89d3-404a-b7ce-1faa5dfde552" xmlns:ns3="23872065-9579-4097-8879-6ec01a167253" targetNamespace="http://schemas.microsoft.com/office/2006/metadata/properties" ma:root="true" ma:fieldsID="b11dd78f2bd6fd7d54fb20d666bed30b" ns1:_="" ns2:_="" ns3:_="">
    <xsd:import namespace="http://schemas.microsoft.com/sharepoint/v3"/>
    <xsd:import namespace="cd41dcb9-89d3-404a-b7ce-1faa5dfde552"/>
    <xsd:import namespace="23872065-9579-4097-8879-6ec01a16725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1dcb9-89d3-404a-b7ce-1faa5dfde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72065-9579-4097-8879-6ec01a16725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eb7ae82-b862-48d1-a8c8-b3e1bda771a9}" ma:internalName="TaxCatchAll" ma:showField="CatchAllData" ma:web="23872065-9579-4097-8879-6ec01a16725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41dcb9-89d3-404a-b7ce-1faa5dfde55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23872065-9579-4097-8879-6ec01a1672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0595-D187-4EC6-99F9-0BB84E2FB408}">
  <ds:schemaRefs>
    <ds:schemaRef ds:uri="http://schemas.microsoft.com/sharepoint/v3/contenttype/forms"/>
  </ds:schemaRefs>
</ds:datastoreItem>
</file>

<file path=customXml/itemProps2.xml><?xml version="1.0" encoding="utf-8"?>
<ds:datastoreItem xmlns:ds="http://schemas.openxmlformats.org/officeDocument/2006/customXml" ds:itemID="{2708DBC7-4FC6-429B-B8FE-23C3E6AB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41dcb9-89d3-404a-b7ce-1faa5dfde552"/>
    <ds:schemaRef ds:uri="23872065-9579-4097-8879-6ec01a167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626E6-D456-4D13-BD51-FA1E81335FD9}">
  <ds:schemaRefs>
    <ds:schemaRef ds:uri="http://schemas.microsoft.com/office/2006/metadata/properties"/>
    <ds:schemaRef ds:uri="http://schemas.microsoft.com/office/infopath/2007/PartnerControls"/>
    <ds:schemaRef ds:uri="cd41dcb9-89d3-404a-b7ce-1faa5dfde552"/>
    <ds:schemaRef ds:uri="http://schemas.microsoft.com/sharepoint/v3"/>
    <ds:schemaRef ds:uri="23872065-9579-4097-8879-6ec01a167253"/>
  </ds:schemaRefs>
</ds:datastoreItem>
</file>

<file path=customXml/itemProps4.xml><?xml version="1.0" encoding="utf-8"?>
<ds:datastoreItem xmlns:ds="http://schemas.openxmlformats.org/officeDocument/2006/customXml" ds:itemID="{79B6A659-5F07-4B58-817D-D03107A8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Andrew (DFW)</dc:creator>
  <cp:keywords/>
  <dc:description/>
  <cp:lastModifiedBy>Sarah Currin</cp:lastModifiedBy>
  <cp:revision>3</cp:revision>
  <dcterms:created xsi:type="dcterms:W3CDTF">2023-10-16T23:04:00Z</dcterms:created>
  <dcterms:modified xsi:type="dcterms:W3CDTF">2023-10-16T23:04:00Z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2023-01-05T21:22:56Z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48843f80-9d2b-4608-ba51-f9913fa35b15</vt:lpwstr>
  </property>
  <property fmtid="{D5CDD505-2E9C-101B-9397-08002B2CF9AE}" pid="8" name="MSIP_Label_45011977-b912-4387-97a4-f4c94a801377_ContentBits">
    <vt:lpwstr>0</vt:lpwstr>
  </property>
  <property fmtid="{D5CDD505-2E9C-101B-9397-08002B2CF9AE}" pid="9" name="ContentTypeId">
    <vt:lpwstr>0x010100E6D7A32E13D3ED4C8C943259EC2EACEA</vt:lpwstr>
  </property>
  <property fmtid="{D5CDD505-2E9C-101B-9397-08002B2CF9AE}" pid="10" name="MediaServiceImageTags">
    <vt:lpwstr/>
  </property>
  <property fmtid="{D5CDD505-2E9C-101B-9397-08002B2CF9AE}" pid="11" name="GrammarlyDocumentId">
    <vt:lpwstr>27d22a09f84a1b58fd42aa2e70f4b4502bb6762dc9192699e949aa787513989e</vt:lpwstr>
  </property>
</Properties>
</file>